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2C14" w14:textId="06438185" w:rsidR="00330C76" w:rsidRPr="008C5FF1" w:rsidRDefault="00330C76" w:rsidP="00DB6FC7">
      <w:pPr>
        <w:spacing w:before="254" w:line="204" w:lineRule="auto"/>
        <w:ind w:left="-567" w:right="1796"/>
        <w:rPr>
          <w:rFonts w:cs="Arial"/>
          <w:sz w:val="88"/>
        </w:rPr>
      </w:pPr>
      <w:bookmarkStart w:id="0" w:name="_Toc61984580"/>
      <w:bookmarkStart w:id="1" w:name="_Toc126754651"/>
      <w:bookmarkStart w:id="2" w:name="_Toc126793190"/>
      <w:bookmarkStart w:id="3" w:name="_Toc126918550"/>
      <w:bookmarkStart w:id="4" w:name="_Toc127344084"/>
      <w:bookmarkStart w:id="5" w:name="_Toc127363336"/>
      <w:bookmarkStart w:id="6" w:name="_Toc129936255"/>
      <w:bookmarkStart w:id="7" w:name="_Toc130551721"/>
      <w:bookmarkStart w:id="8" w:name="_Toc130991392"/>
      <w:bookmarkStart w:id="9" w:name="_Toc61294764"/>
      <w:r w:rsidRPr="00330C76">
        <w:rPr>
          <w:rFonts w:cs="Arial"/>
          <w:b/>
          <w:noProof/>
          <w:color w:val="58595B"/>
          <w:sz w:val="88"/>
        </w:rPr>
        <mc:AlternateContent>
          <mc:Choice Requires="wps">
            <w:drawing>
              <wp:inline distT="0" distB="0" distL="0" distR="0" wp14:anchorId="3FE82B7D" wp14:editId="1B26DFBE">
                <wp:extent cx="4210050" cy="212407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124075"/>
                        </a:xfrm>
                        <a:prstGeom prst="rect">
                          <a:avLst/>
                        </a:prstGeom>
                        <a:solidFill>
                          <a:srgbClr val="FFFFFF"/>
                        </a:solidFill>
                        <a:ln w="9525">
                          <a:solidFill>
                            <a:srgbClr val="000000"/>
                          </a:solidFill>
                          <a:miter lim="800000"/>
                          <a:headEnd/>
                          <a:tailEnd/>
                        </a:ln>
                      </wps:spPr>
                      <wps:txbx>
                        <w:txbxContent>
                          <w:p w14:paraId="12620A07" w14:textId="62C1FD5C" w:rsidR="00330C76" w:rsidRPr="00BC026F" w:rsidRDefault="00330C76" w:rsidP="00BC026F">
                            <w:pPr>
                              <w:pStyle w:val="Heading1"/>
                            </w:pPr>
                            <w:r w:rsidRPr="00BC026F">
                              <w:t>Efficiency &amp; Productivity Plan</w:t>
                            </w:r>
                            <w:r w:rsidRPr="00BC026F">
                              <w:rPr>
                                <w:spacing w:val="-47"/>
                              </w:rPr>
                              <w:t xml:space="preserve"> </w:t>
                            </w:r>
                            <w:r w:rsidRPr="00BC026F">
                              <w:t>2023-2024</w:t>
                            </w:r>
                          </w:p>
                        </w:txbxContent>
                      </wps:txbx>
                      <wps:bodyPr rot="0" vert="horz" wrap="square" lIns="91440" tIns="45720" rIns="91440" bIns="45720" anchor="t" anchorCtr="0">
                        <a:noAutofit/>
                      </wps:bodyPr>
                    </wps:wsp>
                  </a:graphicData>
                </a:graphic>
              </wp:inline>
            </w:drawing>
          </mc:Choice>
          <mc:Fallback>
            <w:pict>
              <v:shapetype w14:anchorId="3FE82B7D" id="_x0000_t202" coordsize="21600,21600" o:spt="202" path="m,l,21600r21600,l21600,xe">
                <v:stroke joinstyle="miter"/>
                <v:path gradientshapeok="t" o:connecttype="rect"/>
              </v:shapetype>
              <v:shape id="Text Box 2" o:spid="_x0000_s1026" type="#_x0000_t202" style="width:331.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">
                <v:textbox>
                  <w:txbxContent>
                    <w:p w14:paraId="12620A07" w14:textId="62C1FD5C" w:rsidR="00330C76" w:rsidRPr="00BC026F" w:rsidRDefault="00330C76" w:rsidP="00BC026F">
                      <w:pPr>
                        <w:pStyle w:val="Heading1"/>
                      </w:pPr>
                      <w:r w:rsidRPr="00BC026F">
                        <w:t>Efficiency &amp; Productivity Plan</w:t>
                      </w:r>
                      <w:r w:rsidRPr="00BC026F">
                        <w:rPr>
                          <w:spacing w:val="-47"/>
                        </w:rPr>
                        <w:t xml:space="preserve"> </w:t>
                      </w:r>
                      <w:r w:rsidRPr="00BC026F">
                        <w:t>2023-2024</w:t>
                      </w:r>
                    </w:p>
                  </w:txbxContent>
                </v:textbox>
                <w10:anchorlock/>
              </v:shape>
            </w:pict>
          </mc:Fallback>
        </mc:AlternateContent>
      </w:r>
    </w:p>
    <w:p w14:paraId="4934AE0E" w14:textId="77777777" w:rsidR="00147017" w:rsidRDefault="00147017" w:rsidP="00DB6FC7">
      <w:pPr>
        <w:spacing w:after="0" w:line="240" w:lineRule="auto"/>
        <w:ind w:left="-426"/>
        <w:sectPr w:rsidR="00147017" w:rsidSect="00704268">
          <w:footerReference w:type="default" r:id="rId11"/>
          <w:headerReference w:type="first" r:id="rId12"/>
          <w:type w:val="continuous"/>
          <w:pgSz w:w="11906" w:h="16838" w:code="9"/>
          <w:pgMar w:top="1440" w:right="1440" w:bottom="1440" w:left="1440" w:header="709" w:footer="198" w:gutter="0"/>
          <w:cols w:space="708"/>
          <w:titlePg/>
          <w:docGrid w:linePitch="360"/>
        </w:sectPr>
      </w:pPr>
    </w:p>
    <w:p w14:paraId="23B1B8E7" w14:textId="76251C0E" w:rsidR="00DD767F" w:rsidRPr="002C2606" w:rsidRDefault="00F951B7" w:rsidP="0060771C">
      <w:pPr>
        <w:pStyle w:val="Heading2"/>
      </w:pPr>
      <w:r>
        <w:lastRenderedPageBreak/>
        <w:t>Contents</w:t>
      </w:r>
      <w:bookmarkEnd w:id="0"/>
      <w:bookmarkEnd w:id="1"/>
      <w:bookmarkEnd w:id="2"/>
      <w:bookmarkEnd w:id="3"/>
      <w:bookmarkEnd w:id="4"/>
      <w:bookmarkEnd w:id="5"/>
      <w:bookmarkEnd w:id="6"/>
      <w:bookmarkEnd w:id="7"/>
      <w:bookmarkEnd w:id="8"/>
    </w:p>
    <w:p w14:paraId="654600DB" w14:textId="77777777" w:rsidR="00CD7262" w:rsidRDefault="00CD7262" w:rsidP="00CD7262">
      <w:pPr>
        <w:pStyle w:val="TOC1"/>
      </w:pPr>
    </w:p>
    <w:p w14:paraId="5D08FF72" w14:textId="318E46F1" w:rsidR="009E7B84" w:rsidRDefault="000829B0">
      <w:pPr>
        <w:pStyle w:val="TOC2"/>
        <w:rPr>
          <w:rFonts w:asciiTheme="minorHAnsi" w:hAnsiTheme="minorHAnsi" w:cstheme="minorBidi"/>
          <w:noProof/>
          <w:color w:val="auto"/>
          <w:sz w:val="22"/>
          <w:lang w:val="en-GB" w:eastAsia="en-GB"/>
        </w:rPr>
      </w:pPr>
      <w:r>
        <w:rPr>
          <w:bCs/>
          <w:noProof/>
          <w:color w:val="000000" w:themeColor="text1"/>
        </w:rPr>
        <w:fldChar w:fldCharType="begin"/>
      </w:r>
      <w:r>
        <w:instrText xml:space="preserve"> TOC \o "1-2" \h \z \u </w:instrText>
      </w:r>
      <w:r>
        <w:rPr>
          <w:bCs/>
          <w:noProof/>
          <w:color w:val="000000" w:themeColor="text1"/>
        </w:rPr>
        <w:fldChar w:fldCharType="separate"/>
      </w:r>
      <w:hyperlink w:anchor="_Toc130991393" w:history="1">
        <w:r w:rsidR="009E7B84" w:rsidRPr="00C14675">
          <w:rPr>
            <w:rStyle w:val="Hyperlink"/>
            <w:noProof/>
          </w:rPr>
          <w:t>Foreword</w:t>
        </w:r>
        <w:r w:rsidR="009E7B84">
          <w:rPr>
            <w:noProof/>
            <w:webHidden/>
          </w:rPr>
          <w:tab/>
        </w:r>
        <w:r w:rsidR="009E7B84">
          <w:rPr>
            <w:noProof/>
            <w:webHidden/>
          </w:rPr>
          <w:fldChar w:fldCharType="begin"/>
        </w:r>
        <w:r w:rsidR="009E7B84">
          <w:rPr>
            <w:noProof/>
            <w:webHidden/>
          </w:rPr>
          <w:instrText xml:space="preserve"> PAGEREF _Toc130991393 \h </w:instrText>
        </w:r>
        <w:r w:rsidR="009E7B84">
          <w:rPr>
            <w:noProof/>
            <w:webHidden/>
          </w:rPr>
        </w:r>
        <w:r w:rsidR="009E7B84">
          <w:rPr>
            <w:noProof/>
            <w:webHidden/>
          </w:rPr>
          <w:fldChar w:fldCharType="separate"/>
        </w:r>
        <w:r w:rsidR="000E66B4">
          <w:rPr>
            <w:noProof/>
            <w:webHidden/>
          </w:rPr>
          <w:t>3</w:t>
        </w:r>
        <w:r w:rsidR="009E7B84">
          <w:rPr>
            <w:noProof/>
            <w:webHidden/>
          </w:rPr>
          <w:fldChar w:fldCharType="end"/>
        </w:r>
      </w:hyperlink>
    </w:p>
    <w:p w14:paraId="3D3C90E8" w14:textId="59EF68B1" w:rsidR="009E7B84" w:rsidRDefault="00000000">
      <w:pPr>
        <w:pStyle w:val="TOC2"/>
        <w:rPr>
          <w:rFonts w:asciiTheme="minorHAnsi" w:hAnsiTheme="minorHAnsi" w:cstheme="minorBidi"/>
          <w:noProof/>
          <w:color w:val="auto"/>
          <w:sz w:val="22"/>
          <w:lang w:val="en-GB" w:eastAsia="en-GB"/>
        </w:rPr>
      </w:pPr>
      <w:hyperlink w:anchor="_Toc130991394" w:history="1">
        <w:r w:rsidR="009E7B84" w:rsidRPr="00C14675">
          <w:rPr>
            <w:rStyle w:val="Hyperlink"/>
            <w:noProof/>
          </w:rPr>
          <w:t>Introduction</w:t>
        </w:r>
        <w:r w:rsidR="009E7B84">
          <w:rPr>
            <w:noProof/>
            <w:webHidden/>
          </w:rPr>
          <w:tab/>
        </w:r>
        <w:r w:rsidR="009E7B84">
          <w:rPr>
            <w:noProof/>
            <w:webHidden/>
          </w:rPr>
          <w:fldChar w:fldCharType="begin"/>
        </w:r>
        <w:r w:rsidR="009E7B84">
          <w:rPr>
            <w:noProof/>
            <w:webHidden/>
          </w:rPr>
          <w:instrText xml:space="preserve"> PAGEREF _Toc130991394 \h </w:instrText>
        </w:r>
        <w:r w:rsidR="009E7B84">
          <w:rPr>
            <w:noProof/>
            <w:webHidden/>
          </w:rPr>
        </w:r>
        <w:r w:rsidR="009E7B84">
          <w:rPr>
            <w:noProof/>
            <w:webHidden/>
          </w:rPr>
          <w:fldChar w:fldCharType="separate"/>
        </w:r>
        <w:r w:rsidR="000E66B4">
          <w:rPr>
            <w:noProof/>
            <w:webHidden/>
          </w:rPr>
          <w:t>4</w:t>
        </w:r>
        <w:r w:rsidR="009E7B84">
          <w:rPr>
            <w:noProof/>
            <w:webHidden/>
          </w:rPr>
          <w:fldChar w:fldCharType="end"/>
        </w:r>
      </w:hyperlink>
    </w:p>
    <w:p w14:paraId="578FDB9D" w14:textId="45246177" w:rsidR="009E7B84" w:rsidRDefault="00000000">
      <w:pPr>
        <w:pStyle w:val="TOC2"/>
        <w:rPr>
          <w:rFonts w:asciiTheme="minorHAnsi" w:hAnsiTheme="minorHAnsi" w:cstheme="minorBidi"/>
          <w:noProof/>
          <w:color w:val="auto"/>
          <w:sz w:val="22"/>
          <w:lang w:val="en-GB" w:eastAsia="en-GB"/>
        </w:rPr>
      </w:pPr>
      <w:hyperlink w:anchor="_Toc130991395" w:history="1">
        <w:r w:rsidR="009E7B84" w:rsidRPr="00C14675">
          <w:rPr>
            <w:rStyle w:val="Hyperlink"/>
            <w:noProof/>
          </w:rPr>
          <w:t>Our Journey So Far</w:t>
        </w:r>
        <w:r w:rsidR="009E7B84">
          <w:rPr>
            <w:noProof/>
            <w:webHidden/>
          </w:rPr>
          <w:tab/>
        </w:r>
        <w:r w:rsidR="009E7B84">
          <w:rPr>
            <w:noProof/>
            <w:webHidden/>
          </w:rPr>
          <w:fldChar w:fldCharType="begin"/>
        </w:r>
        <w:r w:rsidR="009E7B84">
          <w:rPr>
            <w:noProof/>
            <w:webHidden/>
          </w:rPr>
          <w:instrText xml:space="preserve"> PAGEREF _Toc130991395 \h </w:instrText>
        </w:r>
        <w:r w:rsidR="009E7B84">
          <w:rPr>
            <w:noProof/>
            <w:webHidden/>
          </w:rPr>
        </w:r>
        <w:r w:rsidR="009E7B84">
          <w:rPr>
            <w:noProof/>
            <w:webHidden/>
          </w:rPr>
          <w:fldChar w:fldCharType="separate"/>
        </w:r>
        <w:r w:rsidR="000E66B4">
          <w:rPr>
            <w:noProof/>
            <w:webHidden/>
          </w:rPr>
          <w:t>5</w:t>
        </w:r>
        <w:r w:rsidR="009E7B84">
          <w:rPr>
            <w:noProof/>
            <w:webHidden/>
          </w:rPr>
          <w:fldChar w:fldCharType="end"/>
        </w:r>
      </w:hyperlink>
    </w:p>
    <w:p w14:paraId="44E8ECE1" w14:textId="08C3900D" w:rsidR="009E7B84" w:rsidRDefault="00000000">
      <w:pPr>
        <w:pStyle w:val="TOC2"/>
        <w:rPr>
          <w:rFonts w:asciiTheme="minorHAnsi" w:hAnsiTheme="minorHAnsi" w:cstheme="minorBidi"/>
          <w:noProof/>
          <w:color w:val="auto"/>
          <w:sz w:val="22"/>
          <w:lang w:val="en-GB" w:eastAsia="en-GB"/>
        </w:rPr>
      </w:pPr>
      <w:hyperlink w:anchor="_Toc130991396" w:history="1">
        <w:r w:rsidR="009E7B84" w:rsidRPr="00C14675">
          <w:rPr>
            <w:rStyle w:val="Hyperlink"/>
            <w:noProof/>
          </w:rPr>
          <w:t>Our Plan for the Future</w:t>
        </w:r>
        <w:r w:rsidR="009E7B84">
          <w:rPr>
            <w:noProof/>
            <w:webHidden/>
          </w:rPr>
          <w:tab/>
        </w:r>
        <w:r w:rsidR="009E7B84">
          <w:rPr>
            <w:noProof/>
            <w:webHidden/>
          </w:rPr>
          <w:fldChar w:fldCharType="begin"/>
        </w:r>
        <w:r w:rsidR="009E7B84">
          <w:rPr>
            <w:noProof/>
            <w:webHidden/>
          </w:rPr>
          <w:instrText xml:space="preserve"> PAGEREF _Toc130991396 \h </w:instrText>
        </w:r>
        <w:r w:rsidR="009E7B84">
          <w:rPr>
            <w:noProof/>
            <w:webHidden/>
          </w:rPr>
        </w:r>
        <w:r w:rsidR="009E7B84">
          <w:rPr>
            <w:noProof/>
            <w:webHidden/>
          </w:rPr>
          <w:fldChar w:fldCharType="separate"/>
        </w:r>
        <w:r w:rsidR="000E66B4">
          <w:rPr>
            <w:noProof/>
            <w:webHidden/>
          </w:rPr>
          <w:t>11</w:t>
        </w:r>
        <w:r w:rsidR="009E7B84">
          <w:rPr>
            <w:noProof/>
            <w:webHidden/>
          </w:rPr>
          <w:fldChar w:fldCharType="end"/>
        </w:r>
      </w:hyperlink>
    </w:p>
    <w:p w14:paraId="36D43B39" w14:textId="4C60114C" w:rsidR="009E7B84" w:rsidRDefault="00000000">
      <w:pPr>
        <w:pStyle w:val="TOC2"/>
        <w:rPr>
          <w:rFonts w:asciiTheme="minorHAnsi" w:hAnsiTheme="minorHAnsi" w:cstheme="minorBidi"/>
          <w:noProof/>
          <w:color w:val="auto"/>
          <w:sz w:val="22"/>
          <w:lang w:val="en-GB" w:eastAsia="en-GB"/>
        </w:rPr>
      </w:pPr>
      <w:hyperlink w:anchor="_Toc130991397" w:history="1">
        <w:r w:rsidR="009E7B84" w:rsidRPr="00C14675">
          <w:rPr>
            <w:rStyle w:val="Hyperlink"/>
            <w:noProof/>
          </w:rPr>
          <w:t>Operational Productivity</w:t>
        </w:r>
        <w:r w:rsidR="009E7B84">
          <w:rPr>
            <w:noProof/>
            <w:webHidden/>
          </w:rPr>
          <w:tab/>
        </w:r>
        <w:r w:rsidR="009E7B84">
          <w:rPr>
            <w:noProof/>
            <w:webHidden/>
          </w:rPr>
          <w:fldChar w:fldCharType="begin"/>
        </w:r>
        <w:r w:rsidR="009E7B84">
          <w:rPr>
            <w:noProof/>
            <w:webHidden/>
          </w:rPr>
          <w:instrText xml:space="preserve"> PAGEREF _Toc130991397 \h </w:instrText>
        </w:r>
        <w:r w:rsidR="009E7B84">
          <w:rPr>
            <w:noProof/>
            <w:webHidden/>
          </w:rPr>
        </w:r>
        <w:r w:rsidR="009E7B84">
          <w:rPr>
            <w:noProof/>
            <w:webHidden/>
          </w:rPr>
          <w:fldChar w:fldCharType="separate"/>
        </w:r>
        <w:r w:rsidR="000E66B4">
          <w:rPr>
            <w:noProof/>
            <w:webHidden/>
          </w:rPr>
          <w:t>18</w:t>
        </w:r>
        <w:r w:rsidR="009E7B84">
          <w:rPr>
            <w:noProof/>
            <w:webHidden/>
          </w:rPr>
          <w:fldChar w:fldCharType="end"/>
        </w:r>
      </w:hyperlink>
    </w:p>
    <w:p w14:paraId="06F0B820" w14:textId="1FDD64FA" w:rsidR="009E7B84" w:rsidRDefault="00000000">
      <w:pPr>
        <w:pStyle w:val="TOC2"/>
        <w:rPr>
          <w:rFonts w:asciiTheme="minorHAnsi" w:hAnsiTheme="minorHAnsi" w:cstheme="minorBidi"/>
          <w:noProof/>
          <w:color w:val="auto"/>
          <w:sz w:val="22"/>
          <w:lang w:val="en-GB" w:eastAsia="en-GB"/>
        </w:rPr>
      </w:pPr>
      <w:hyperlink w:anchor="_Toc130991398" w:history="1">
        <w:r w:rsidR="009E7B84" w:rsidRPr="00C14675">
          <w:rPr>
            <w:rStyle w:val="Hyperlink"/>
            <w:noProof/>
          </w:rPr>
          <w:t>Appendix A – Efficiency Plan</w:t>
        </w:r>
        <w:r w:rsidR="009E7B84">
          <w:rPr>
            <w:noProof/>
            <w:webHidden/>
          </w:rPr>
          <w:tab/>
        </w:r>
        <w:r w:rsidR="009E7B84">
          <w:rPr>
            <w:noProof/>
            <w:webHidden/>
          </w:rPr>
          <w:fldChar w:fldCharType="begin"/>
        </w:r>
        <w:r w:rsidR="009E7B84">
          <w:rPr>
            <w:noProof/>
            <w:webHidden/>
          </w:rPr>
          <w:instrText xml:space="preserve"> PAGEREF _Toc130991398 \h </w:instrText>
        </w:r>
        <w:r w:rsidR="009E7B84">
          <w:rPr>
            <w:noProof/>
            <w:webHidden/>
          </w:rPr>
        </w:r>
        <w:r w:rsidR="009E7B84">
          <w:rPr>
            <w:noProof/>
            <w:webHidden/>
          </w:rPr>
          <w:fldChar w:fldCharType="separate"/>
        </w:r>
        <w:r w:rsidR="000E66B4">
          <w:rPr>
            <w:noProof/>
            <w:webHidden/>
          </w:rPr>
          <w:t>24</w:t>
        </w:r>
        <w:r w:rsidR="009E7B84">
          <w:rPr>
            <w:noProof/>
            <w:webHidden/>
          </w:rPr>
          <w:fldChar w:fldCharType="end"/>
        </w:r>
      </w:hyperlink>
    </w:p>
    <w:p w14:paraId="2CD15BC8" w14:textId="5BD462DD" w:rsidR="00CA7C0A" w:rsidRDefault="000829B0" w:rsidP="00DD767F">
      <w:r>
        <w:fldChar w:fldCharType="end"/>
      </w:r>
    </w:p>
    <w:p w14:paraId="5650981C" w14:textId="3653E339" w:rsidR="00970A63" w:rsidRDefault="00657410">
      <w:r>
        <w:br w:type="page"/>
      </w:r>
    </w:p>
    <w:p w14:paraId="626618D1" w14:textId="5869C76F" w:rsidR="00870C27" w:rsidRDefault="00AE2DDE" w:rsidP="0060771C">
      <w:pPr>
        <w:pStyle w:val="Heading2"/>
      </w:pPr>
      <w:bookmarkStart w:id="10" w:name="_Toc130991393"/>
      <w:r>
        <w:lastRenderedPageBreak/>
        <w:t>For</w:t>
      </w:r>
      <w:r w:rsidR="00E538A7">
        <w:t>e</w:t>
      </w:r>
      <w:r>
        <w:t>w</w:t>
      </w:r>
      <w:r w:rsidR="00E538A7">
        <w:t>o</w:t>
      </w:r>
      <w:r>
        <w:t>rd</w:t>
      </w:r>
      <w:bookmarkEnd w:id="10"/>
    </w:p>
    <w:p w14:paraId="52933745" w14:textId="615A06B0" w:rsidR="00F6652C" w:rsidRDefault="00F6652C" w:rsidP="00F6652C">
      <w:pPr>
        <w:rPr>
          <w:rFonts w:cs="Arial"/>
          <w:szCs w:val="24"/>
        </w:rPr>
      </w:pPr>
      <w:r w:rsidRPr="008611B1">
        <w:rPr>
          <w:rFonts w:cs="Arial"/>
          <w:szCs w:val="24"/>
        </w:rPr>
        <w:t>As</w:t>
      </w:r>
      <w:r>
        <w:rPr>
          <w:rFonts w:cs="Arial"/>
          <w:szCs w:val="24"/>
        </w:rPr>
        <w:t xml:space="preserve"> one of the largest </w:t>
      </w:r>
      <w:r w:rsidRPr="008611B1">
        <w:rPr>
          <w:rFonts w:cs="Arial"/>
          <w:szCs w:val="24"/>
        </w:rPr>
        <w:t xml:space="preserve">fire </w:t>
      </w:r>
      <w:r w:rsidR="00E02AA7">
        <w:rPr>
          <w:rFonts w:cs="Arial"/>
          <w:szCs w:val="24"/>
        </w:rPr>
        <w:t xml:space="preserve">and rescue </w:t>
      </w:r>
      <w:r w:rsidRPr="008611B1">
        <w:rPr>
          <w:rFonts w:cs="Arial"/>
          <w:szCs w:val="24"/>
        </w:rPr>
        <w:t>service</w:t>
      </w:r>
      <w:r>
        <w:rPr>
          <w:rFonts w:cs="Arial"/>
          <w:szCs w:val="24"/>
        </w:rPr>
        <w:t>s</w:t>
      </w:r>
      <w:r w:rsidR="00705599">
        <w:rPr>
          <w:rFonts w:cs="Arial"/>
          <w:szCs w:val="24"/>
        </w:rPr>
        <w:t xml:space="preserve"> (FRSs)</w:t>
      </w:r>
      <w:r>
        <w:rPr>
          <w:rFonts w:cs="Arial"/>
          <w:szCs w:val="24"/>
        </w:rPr>
        <w:t xml:space="preserve"> in England, we understand the importance of </w:t>
      </w:r>
      <w:r w:rsidRPr="008611B1">
        <w:rPr>
          <w:rFonts w:cs="Arial"/>
          <w:szCs w:val="24"/>
        </w:rPr>
        <w:t>continually striv</w:t>
      </w:r>
      <w:r>
        <w:rPr>
          <w:rFonts w:cs="Arial"/>
          <w:szCs w:val="24"/>
        </w:rPr>
        <w:t>ing</w:t>
      </w:r>
      <w:r w:rsidRPr="008611B1">
        <w:rPr>
          <w:rFonts w:cs="Arial"/>
          <w:szCs w:val="24"/>
        </w:rPr>
        <w:t xml:space="preserve"> to improve the efficiency and productivity to deliver the best possible </w:t>
      </w:r>
      <w:r w:rsidR="00C47078">
        <w:rPr>
          <w:rFonts w:cs="Arial"/>
          <w:szCs w:val="24"/>
        </w:rPr>
        <w:t>value</w:t>
      </w:r>
      <w:r w:rsidRPr="008611B1">
        <w:rPr>
          <w:rFonts w:cs="Arial"/>
          <w:szCs w:val="24"/>
        </w:rPr>
        <w:t xml:space="preserve"> </w:t>
      </w:r>
      <w:r>
        <w:rPr>
          <w:rFonts w:cs="Arial"/>
          <w:szCs w:val="24"/>
        </w:rPr>
        <w:t xml:space="preserve">to </w:t>
      </w:r>
      <w:r w:rsidR="00E02AA7">
        <w:rPr>
          <w:rFonts w:cs="Arial"/>
          <w:szCs w:val="24"/>
        </w:rPr>
        <w:t>the</w:t>
      </w:r>
      <w:r w:rsidRPr="008611B1">
        <w:rPr>
          <w:rFonts w:cs="Arial"/>
          <w:szCs w:val="24"/>
        </w:rPr>
        <w:t xml:space="preserve"> communit</w:t>
      </w:r>
      <w:r>
        <w:rPr>
          <w:rFonts w:cs="Arial"/>
          <w:szCs w:val="24"/>
        </w:rPr>
        <w:t>ies</w:t>
      </w:r>
      <w:r w:rsidR="00E02AA7">
        <w:rPr>
          <w:rFonts w:cs="Arial"/>
          <w:szCs w:val="24"/>
        </w:rPr>
        <w:t xml:space="preserve"> we serve</w:t>
      </w:r>
      <w:r w:rsidRPr="008611B1">
        <w:rPr>
          <w:rFonts w:cs="Arial"/>
          <w:szCs w:val="24"/>
        </w:rPr>
        <w:t xml:space="preserve">. </w:t>
      </w:r>
    </w:p>
    <w:p w14:paraId="74BC2229" w14:textId="7B59EC62" w:rsidR="00F6652C" w:rsidRDefault="00F6652C" w:rsidP="00F6652C">
      <w:pPr>
        <w:rPr>
          <w:rFonts w:cs="Arial"/>
          <w:szCs w:val="24"/>
        </w:rPr>
      </w:pPr>
      <w:r w:rsidRPr="00870C27">
        <w:rPr>
          <w:rFonts w:cs="Arial"/>
          <w:szCs w:val="24"/>
        </w:rPr>
        <w:t>Th</w:t>
      </w:r>
      <w:r w:rsidR="00E02AA7">
        <w:rPr>
          <w:rFonts w:cs="Arial"/>
          <w:szCs w:val="24"/>
        </w:rPr>
        <w:t xml:space="preserve">e Greater Manchester Fire and Rescue Service (GMFRS) </w:t>
      </w:r>
      <w:r w:rsidRPr="00870C27">
        <w:rPr>
          <w:rFonts w:cs="Arial"/>
          <w:szCs w:val="24"/>
        </w:rPr>
        <w:t xml:space="preserve">Efficiency and Productivity Plan aims to enhance </w:t>
      </w:r>
      <w:r>
        <w:rPr>
          <w:rFonts w:cs="Arial"/>
          <w:szCs w:val="24"/>
        </w:rPr>
        <w:t>our</w:t>
      </w:r>
      <w:r w:rsidRPr="00870C27">
        <w:rPr>
          <w:rFonts w:cs="Arial"/>
          <w:szCs w:val="24"/>
        </w:rPr>
        <w:t xml:space="preserve"> ability to deliver </w:t>
      </w:r>
      <w:r>
        <w:rPr>
          <w:rFonts w:cs="Arial"/>
          <w:szCs w:val="24"/>
        </w:rPr>
        <w:t>an efficient</w:t>
      </w:r>
      <w:r w:rsidRPr="00870C27">
        <w:rPr>
          <w:rFonts w:cs="Arial"/>
          <w:szCs w:val="24"/>
        </w:rPr>
        <w:t xml:space="preserve"> and effective service to the community by introducing practical strategies to streamline processes, optimi</w:t>
      </w:r>
      <w:r>
        <w:rPr>
          <w:rFonts w:cs="Arial"/>
          <w:szCs w:val="24"/>
        </w:rPr>
        <w:t>s</w:t>
      </w:r>
      <w:r w:rsidRPr="00870C27">
        <w:rPr>
          <w:rFonts w:cs="Arial"/>
          <w:szCs w:val="24"/>
        </w:rPr>
        <w:t xml:space="preserve">e resources, and improve productivity. </w:t>
      </w:r>
    </w:p>
    <w:p w14:paraId="707785C3" w14:textId="662CC2C4" w:rsidR="00F6652C" w:rsidRDefault="00F6652C" w:rsidP="00F6652C">
      <w:pPr>
        <w:rPr>
          <w:rFonts w:cs="Arial"/>
          <w:szCs w:val="24"/>
        </w:rPr>
      </w:pPr>
      <w:r w:rsidRPr="008611B1">
        <w:rPr>
          <w:rFonts w:cs="Arial"/>
          <w:szCs w:val="24"/>
        </w:rPr>
        <w:t xml:space="preserve">By embracing new technologies, investing in our workforce, and streamlining our operations, we will be better equipped to meet the evolving needs of our communities and ensure that we remain the </w:t>
      </w:r>
      <w:r w:rsidR="00C47078">
        <w:rPr>
          <w:rFonts w:cs="Arial"/>
          <w:szCs w:val="24"/>
        </w:rPr>
        <w:t>effective and sustainable</w:t>
      </w:r>
      <w:r w:rsidRPr="008611B1">
        <w:rPr>
          <w:rFonts w:cs="Arial"/>
          <w:szCs w:val="24"/>
        </w:rPr>
        <w:t xml:space="preserve"> </w:t>
      </w:r>
      <w:r w:rsidR="00C920B0">
        <w:rPr>
          <w:rFonts w:cs="Arial"/>
          <w:szCs w:val="24"/>
        </w:rPr>
        <w:t>s</w:t>
      </w:r>
      <w:r>
        <w:rPr>
          <w:rFonts w:cs="Arial"/>
          <w:szCs w:val="24"/>
        </w:rPr>
        <w:t>ervice</w:t>
      </w:r>
      <w:r w:rsidRPr="008611B1">
        <w:rPr>
          <w:rFonts w:cs="Arial"/>
          <w:szCs w:val="24"/>
        </w:rPr>
        <w:t xml:space="preserve"> that </w:t>
      </w:r>
      <w:r w:rsidR="00D41743">
        <w:rPr>
          <w:rFonts w:cs="Arial"/>
          <w:szCs w:val="24"/>
        </w:rPr>
        <w:t>the public</w:t>
      </w:r>
      <w:r w:rsidRPr="008611B1">
        <w:rPr>
          <w:rFonts w:cs="Arial"/>
          <w:szCs w:val="24"/>
        </w:rPr>
        <w:t xml:space="preserve"> depend on. </w:t>
      </w:r>
    </w:p>
    <w:p w14:paraId="3453883F" w14:textId="77777777" w:rsidR="00F6652C" w:rsidRDefault="00F6652C" w:rsidP="00F6652C">
      <w:pPr>
        <w:rPr>
          <w:rFonts w:cs="Arial"/>
          <w:szCs w:val="24"/>
        </w:rPr>
      </w:pPr>
      <w:r>
        <w:t xml:space="preserve">Whilst our financial future remains </w:t>
      </w:r>
      <w:proofErr w:type="gramStart"/>
      <w:r>
        <w:t>uncertain</w:t>
      </w:r>
      <w:proofErr w:type="gramEnd"/>
      <w:r>
        <w:t xml:space="preserve"> we remain committed to delivering efficiencies and improvements without compromising our prevention, protection and response services</w:t>
      </w:r>
      <w:r>
        <w:rPr>
          <w:rFonts w:cs="Arial"/>
          <w:szCs w:val="24"/>
        </w:rPr>
        <w:t>.</w:t>
      </w:r>
    </w:p>
    <w:p w14:paraId="039E9CDA" w14:textId="218C8EA8" w:rsidR="00F6652C" w:rsidRDefault="00F6652C" w:rsidP="00F6652C">
      <w:r w:rsidRPr="00870C27">
        <w:rPr>
          <w:rFonts w:cs="Arial"/>
          <w:szCs w:val="24"/>
        </w:rPr>
        <w:t xml:space="preserve">This plan will help </w:t>
      </w:r>
      <w:r>
        <w:rPr>
          <w:rFonts w:cs="Arial"/>
          <w:szCs w:val="24"/>
        </w:rPr>
        <w:t>us</w:t>
      </w:r>
      <w:r w:rsidRPr="00870C27">
        <w:rPr>
          <w:rFonts w:cs="Arial"/>
          <w:szCs w:val="24"/>
        </w:rPr>
        <w:t xml:space="preserve"> </w:t>
      </w:r>
      <w:r>
        <w:t>on our journey to become a flexible, modern and resilien</w:t>
      </w:r>
      <w:r w:rsidR="00C920B0">
        <w:t>t</w:t>
      </w:r>
      <w:r>
        <w:t xml:space="preserve"> fire and rescue service</w:t>
      </w:r>
      <w:r w:rsidR="00C920B0">
        <w:t xml:space="preserve"> that provides the best possible value to our communities.</w:t>
      </w:r>
    </w:p>
    <w:p w14:paraId="72CBFC54" w14:textId="7B29C9D6" w:rsidR="006D6A95" w:rsidRDefault="00AE2DDE" w:rsidP="004C4036">
      <w:r w:rsidRPr="007518C8">
        <w:rPr>
          <w:b/>
          <w:bCs/>
          <w:color w:val="auto"/>
        </w:rPr>
        <w:t xml:space="preserve">Dave Russel, Chief Fire Officer </w:t>
      </w:r>
      <w:r w:rsidR="006D6A95">
        <w:rPr>
          <w:b/>
          <w:bCs/>
          <w:color w:val="auto"/>
        </w:rPr>
        <w:t>–</w:t>
      </w:r>
      <w:r w:rsidRPr="007518C8">
        <w:rPr>
          <w:b/>
          <w:bCs/>
          <w:color w:val="auto"/>
        </w:rPr>
        <w:t xml:space="preserve"> GMFRS</w:t>
      </w:r>
      <w:bookmarkStart w:id="11" w:name="_Toc130991394"/>
    </w:p>
    <w:p w14:paraId="222BF9BF" w14:textId="1A6A159E" w:rsidR="00CA7C0A" w:rsidRDefault="00F951B7" w:rsidP="006D6A95">
      <w:pPr>
        <w:pStyle w:val="Heading2"/>
      </w:pPr>
      <w:r>
        <w:t>Introduction</w:t>
      </w:r>
      <w:bookmarkEnd w:id="11"/>
    </w:p>
    <w:p w14:paraId="65CAEA15" w14:textId="799427EF" w:rsidR="000829B0" w:rsidRDefault="000829B0" w:rsidP="00F951B7">
      <w:r>
        <w:t>This year marks the mid-point of the f</w:t>
      </w:r>
      <w:r w:rsidR="000E0B8B">
        <w:t>our</w:t>
      </w:r>
      <w:r>
        <w:t>-year Greater Manchester Fire Plan. Th</w:t>
      </w:r>
      <w:r w:rsidR="00247780">
        <w:t>e Fire Pl</w:t>
      </w:r>
      <w:r>
        <w:t xml:space="preserve">an </w:t>
      </w:r>
      <w:r w:rsidR="004513DC">
        <w:t xml:space="preserve">2021-25 </w:t>
      </w:r>
      <w:r>
        <w:t>sets out a journey of continuing improvement in how we deliver our responsibilities, while providing greater value to the public.</w:t>
      </w:r>
    </w:p>
    <w:p w14:paraId="60765457" w14:textId="3ED92096" w:rsidR="00DF1927" w:rsidRDefault="00B02E88" w:rsidP="00F951B7">
      <w:r>
        <w:t xml:space="preserve">Detailed within this plan are </w:t>
      </w:r>
      <w:r w:rsidR="00055B00">
        <w:t>GMFRS</w:t>
      </w:r>
      <w:r w:rsidR="00512A1E">
        <w:t>’</w:t>
      </w:r>
      <w:r w:rsidR="00055B00">
        <w:t xml:space="preserve"> </w:t>
      </w:r>
      <w:r w:rsidR="0001516D">
        <w:t xml:space="preserve">six strategic </w:t>
      </w:r>
      <w:r w:rsidR="004B69AE">
        <w:t>priorities</w:t>
      </w:r>
      <w:r w:rsidR="0001516D">
        <w:t>:</w:t>
      </w:r>
    </w:p>
    <w:tbl>
      <w:tblPr>
        <w:tblStyle w:val="TableGrid"/>
        <w:tblW w:w="0" w:type="auto"/>
        <w:tblLook w:val="04A0" w:firstRow="1" w:lastRow="0" w:firstColumn="1" w:lastColumn="0" w:noHBand="0" w:noVBand="1"/>
      </w:tblPr>
      <w:tblGrid>
        <w:gridCol w:w="9016"/>
      </w:tblGrid>
      <w:tr w:rsidR="004B69AE" w14:paraId="6780D9A9" w14:textId="77777777" w:rsidTr="00B302DF">
        <w:tc>
          <w:tcPr>
            <w:tcW w:w="9016" w:type="dxa"/>
            <w:shd w:val="clear" w:color="auto" w:fill="C00000"/>
          </w:tcPr>
          <w:p w14:paraId="69231A68" w14:textId="77777777" w:rsidR="008D118E" w:rsidRPr="004506DE" w:rsidRDefault="008D118E" w:rsidP="00045AED">
            <w:pPr>
              <w:ind w:left="720"/>
              <w:rPr>
                <w:b/>
                <w:bCs/>
                <w:color w:val="FFFFFF" w:themeColor="background1"/>
                <w:sz w:val="8"/>
                <w:szCs w:val="8"/>
              </w:rPr>
            </w:pPr>
          </w:p>
          <w:p w14:paraId="083B50E8" w14:textId="2942221A" w:rsidR="004B69AE" w:rsidRPr="004506DE" w:rsidRDefault="006A1146" w:rsidP="00BC6089">
            <w:pPr>
              <w:pStyle w:val="ListParagraph"/>
              <w:numPr>
                <w:ilvl w:val="0"/>
                <w:numId w:val="3"/>
              </w:numPr>
            </w:pPr>
            <w:r w:rsidRPr="004506DE">
              <w:t xml:space="preserve">Provide a fast, safe and effective </w:t>
            </w:r>
            <w:proofErr w:type="gramStart"/>
            <w:r w:rsidRPr="004506DE">
              <w:t>response</w:t>
            </w:r>
            <w:proofErr w:type="gramEnd"/>
          </w:p>
          <w:p w14:paraId="5F74D6F8" w14:textId="77777777" w:rsidR="006A1146" w:rsidRPr="004506DE" w:rsidRDefault="006A1146" w:rsidP="00BC6089">
            <w:pPr>
              <w:pStyle w:val="ListParagraph"/>
              <w:numPr>
                <w:ilvl w:val="0"/>
                <w:numId w:val="3"/>
              </w:numPr>
            </w:pPr>
            <w:r w:rsidRPr="004506DE">
              <w:t xml:space="preserve">Help people reduce the risks of fires and other </w:t>
            </w:r>
            <w:proofErr w:type="gramStart"/>
            <w:r w:rsidRPr="004506DE">
              <w:t>emergencies</w:t>
            </w:r>
            <w:proofErr w:type="gramEnd"/>
          </w:p>
          <w:p w14:paraId="430696D6" w14:textId="77777777" w:rsidR="006A1146" w:rsidRPr="004506DE" w:rsidRDefault="006A1146" w:rsidP="00BC6089">
            <w:pPr>
              <w:pStyle w:val="ListParagraph"/>
              <w:numPr>
                <w:ilvl w:val="0"/>
                <w:numId w:val="3"/>
              </w:numPr>
            </w:pPr>
            <w:r w:rsidRPr="004506DE">
              <w:t xml:space="preserve">Help protect the built </w:t>
            </w:r>
            <w:proofErr w:type="gramStart"/>
            <w:r w:rsidRPr="004506DE">
              <w:t>environment</w:t>
            </w:r>
            <w:proofErr w:type="gramEnd"/>
          </w:p>
          <w:p w14:paraId="4542495B" w14:textId="77777777" w:rsidR="006A1146" w:rsidRPr="004506DE" w:rsidRDefault="006A1146" w:rsidP="00BC6089">
            <w:pPr>
              <w:pStyle w:val="ListParagraph"/>
              <w:numPr>
                <w:ilvl w:val="0"/>
                <w:numId w:val="3"/>
              </w:numPr>
            </w:pPr>
            <w:r w:rsidRPr="004506DE">
              <w:t xml:space="preserve">Use resources sustainably and deliver the most </w:t>
            </w:r>
            <w:proofErr w:type="gramStart"/>
            <w:r w:rsidRPr="004506DE">
              <w:t>value</w:t>
            </w:r>
            <w:proofErr w:type="gramEnd"/>
          </w:p>
          <w:p w14:paraId="01F145CC" w14:textId="77777777" w:rsidR="006A1146" w:rsidRPr="004506DE" w:rsidRDefault="006A1146" w:rsidP="00BC6089">
            <w:pPr>
              <w:pStyle w:val="ListParagraph"/>
              <w:numPr>
                <w:ilvl w:val="0"/>
                <w:numId w:val="3"/>
              </w:numPr>
            </w:pPr>
            <w:r w:rsidRPr="004506DE">
              <w:t xml:space="preserve">Develop a culture of excellence, equality and </w:t>
            </w:r>
            <w:proofErr w:type="gramStart"/>
            <w:r w:rsidRPr="004506DE">
              <w:t>inclusivity</w:t>
            </w:r>
            <w:proofErr w:type="gramEnd"/>
          </w:p>
          <w:p w14:paraId="53AA0EF1" w14:textId="77777777" w:rsidR="006A1146" w:rsidRPr="004506DE" w:rsidRDefault="006A1146" w:rsidP="00BC6089">
            <w:pPr>
              <w:pStyle w:val="ListParagraph"/>
              <w:numPr>
                <w:ilvl w:val="0"/>
                <w:numId w:val="3"/>
              </w:numPr>
            </w:pPr>
            <w:r w:rsidRPr="004506DE">
              <w:t>Integra</w:t>
            </w:r>
            <w:r w:rsidR="008D118E" w:rsidRPr="004506DE">
              <w:t xml:space="preserve">te our services in every locality with those of partner </w:t>
            </w:r>
            <w:proofErr w:type="gramStart"/>
            <w:r w:rsidR="008D118E" w:rsidRPr="004506DE">
              <w:t>agencies</w:t>
            </w:r>
            <w:proofErr w:type="gramEnd"/>
          </w:p>
          <w:p w14:paraId="1363675B" w14:textId="51745499" w:rsidR="008D118E" w:rsidRPr="004506DE" w:rsidRDefault="008D118E" w:rsidP="008D118E">
            <w:pPr>
              <w:ind w:left="360"/>
              <w:rPr>
                <w:b/>
                <w:bCs/>
                <w:color w:val="FFFFFF" w:themeColor="background1"/>
                <w:sz w:val="8"/>
                <w:szCs w:val="8"/>
              </w:rPr>
            </w:pPr>
          </w:p>
        </w:tc>
      </w:tr>
    </w:tbl>
    <w:p w14:paraId="48F8F6C1" w14:textId="77777777" w:rsidR="004B69AE" w:rsidRPr="004E3119" w:rsidRDefault="004B69AE" w:rsidP="00F951B7">
      <w:pPr>
        <w:rPr>
          <w:sz w:val="12"/>
          <w:szCs w:val="12"/>
        </w:rPr>
      </w:pPr>
    </w:p>
    <w:p w14:paraId="6FDB1FD0" w14:textId="4479E225" w:rsidR="00B81990" w:rsidRPr="00B837B3" w:rsidRDefault="008051CB" w:rsidP="00E11652">
      <w:pPr>
        <w:jc w:val="both"/>
        <w:rPr>
          <w:rFonts w:cs="Arial"/>
          <w:color w:val="auto"/>
        </w:rPr>
      </w:pPr>
      <w:r w:rsidRPr="00B837B3">
        <w:rPr>
          <w:color w:val="auto"/>
        </w:rPr>
        <w:lastRenderedPageBreak/>
        <w:t xml:space="preserve">Each year we </w:t>
      </w:r>
      <w:r w:rsidR="006C09E9" w:rsidRPr="00B837B3">
        <w:rPr>
          <w:color w:val="auto"/>
        </w:rPr>
        <w:t>produce a</w:t>
      </w:r>
      <w:r w:rsidR="00987989" w:rsidRPr="00B837B3">
        <w:rPr>
          <w:color w:val="auto"/>
        </w:rPr>
        <w:t xml:space="preserve">n Annual Delivery Plan </w:t>
      </w:r>
      <w:r w:rsidR="0020195B" w:rsidRPr="00B837B3">
        <w:rPr>
          <w:color w:val="auto"/>
        </w:rPr>
        <w:t xml:space="preserve">that </w:t>
      </w:r>
      <w:r w:rsidR="0020195B" w:rsidRPr="07E23253">
        <w:rPr>
          <w:color w:val="auto"/>
        </w:rPr>
        <w:t>set</w:t>
      </w:r>
      <w:r w:rsidR="3C2CF440" w:rsidRPr="07E23253">
        <w:rPr>
          <w:color w:val="auto"/>
        </w:rPr>
        <w:t>s</w:t>
      </w:r>
      <w:r w:rsidR="0020195B" w:rsidRPr="00B837B3">
        <w:rPr>
          <w:color w:val="auto"/>
        </w:rPr>
        <w:t xml:space="preserve"> out </w:t>
      </w:r>
      <w:r w:rsidR="006C02A5" w:rsidRPr="00B837B3">
        <w:rPr>
          <w:color w:val="auto"/>
        </w:rPr>
        <w:t>our improvement programme for the upcoming year</w:t>
      </w:r>
      <w:r w:rsidR="00E33A26" w:rsidRPr="00B837B3">
        <w:rPr>
          <w:color w:val="auto"/>
        </w:rPr>
        <w:t xml:space="preserve"> and details how we will continue to respond t</w:t>
      </w:r>
      <w:r w:rsidR="00987989" w:rsidRPr="00B837B3">
        <w:rPr>
          <w:color w:val="auto"/>
        </w:rPr>
        <w:t>o risks and keep communities safe</w:t>
      </w:r>
      <w:r w:rsidR="00F465FD" w:rsidRPr="00B837B3">
        <w:rPr>
          <w:color w:val="auto"/>
        </w:rPr>
        <w:t xml:space="preserve">. We also produce </w:t>
      </w:r>
      <w:r w:rsidR="00987989" w:rsidRPr="00B837B3">
        <w:rPr>
          <w:color w:val="auto"/>
        </w:rPr>
        <w:t>a</w:t>
      </w:r>
      <w:r w:rsidR="00F465FD" w:rsidRPr="00B837B3">
        <w:rPr>
          <w:color w:val="auto"/>
        </w:rPr>
        <w:t xml:space="preserve"> </w:t>
      </w:r>
      <w:proofErr w:type="gramStart"/>
      <w:r w:rsidR="00B81990" w:rsidRPr="00B837B3">
        <w:rPr>
          <w:rFonts w:cs="Arial"/>
          <w:color w:val="auto"/>
        </w:rPr>
        <w:t>Medium Term</w:t>
      </w:r>
      <w:proofErr w:type="gramEnd"/>
      <w:r w:rsidR="00B81990" w:rsidRPr="00B837B3">
        <w:rPr>
          <w:rFonts w:cs="Arial"/>
          <w:color w:val="auto"/>
        </w:rPr>
        <w:t xml:space="preserve"> Financial Plan</w:t>
      </w:r>
      <w:r w:rsidR="00F453B5" w:rsidRPr="00B837B3">
        <w:rPr>
          <w:rFonts w:cs="Arial"/>
          <w:color w:val="auto"/>
        </w:rPr>
        <w:t xml:space="preserve"> </w:t>
      </w:r>
      <w:r w:rsidR="00F465FD" w:rsidRPr="00B837B3">
        <w:rPr>
          <w:rFonts w:cs="Arial"/>
          <w:color w:val="auto"/>
        </w:rPr>
        <w:t xml:space="preserve">which </w:t>
      </w:r>
      <w:r w:rsidR="00EF06BF" w:rsidRPr="00B837B3">
        <w:rPr>
          <w:rFonts w:cs="Arial"/>
          <w:color w:val="auto"/>
        </w:rPr>
        <w:t xml:space="preserve">outlines the </w:t>
      </w:r>
      <w:r w:rsidR="00143CA4" w:rsidRPr="00B837B3">
        <w:rPr>
          <w:rFonts w:cs="Arial"/>
          <w:color w:val="auto"/>
        </w:rPr>
        <w:t>Service’s financial position</w:t>
      </w:r>
      <w:r w:rsidR="00CC6096" w:rsidRPr="00B837B3">
        <w:rPr>
          <w:rFonts w:cs="Arial"/>
          <w:color w:val="auto"/>
        </w:rPr>
        <w:t xml:space="preserve">, specifically the </w:t>
      </w:r>
      <w:r w:rsidR="00F1043B" w:rsidRPr="00B837B3">
        <w:rPr>
          <w:rFonts w:cs="Arial"/>
          <w:color w:val="auto"/>
        </w:rPr>
        <w:t xml:space="preserve">revenue targets, capital investments, and funding requirements. </w:t>
      </w:r>
    </w:p>
    <w:p w14:paraId="602454D3" w14:textId="373B4EAA" w:rsidR="00AA3028" w:rsidRPr="00AA3028" w:rsidRDefault="00AA3028" w:rsidP="00540C48">
      <w:pPr>
        <w:rPr>
          <w:rFonts w:cs="Arial"/>
        </w:rPr>
      </w:pPr>
      <w:bookmarkStart w:id="12" w:name="_Toc61984583"/>
      <w:r w:rsidRPr="00AA3028">
        <w:rPr>
          <w:rFonts w:cs="Arial"/>
        </w:rPr>
        <w:t xml:space="preserve">This report sets out </w:t>
      </w:r>
      <w:r w:rsidR="00B837B3">
        <w:rPr>
          <w:rFonts w:cs="Arial"/>
        </w:rPr>
        <w:t>GMFRS</w:t>
      </w:r>
      <w:r w:rsidRPr="00AA3028">
        <w:rPr>
          <w:rFonts w:cs="Arial"/>
        </w:rPr>
        <w:t>’ Efficiency</w:t>
      </w:r>
      <w:r w:rsidR="00275E4A">
        <w:rPr>
          <w:rFonts w:cs="Arial"/>
        </w:rPr>
        <w:t xml:space="preserve"> and Productivity</w:t>
      </w:r>
      <w:r w:rsidRPr="00AA3028">
        <w:rPr>
          <w:rFonts w:cs="Arial"/>
        </w:rPr>
        <w:t xml:space="preserve"> Plan covering the period 2021/22 to 2024/25 as required by the National Framework. </w:t>
      </w:r>
    </w:p>
    <w:p w14:paraId="10F444AE" w14:textId="77777777" w:rsidR="00AA3028" w:rsidRPr="00AA3028" w:rsidRDefault="00AA3028" w:rsidP="00540C48">
      <w:pPr>
        <w:rPr>
          <w:rFonts w:cs="Arial"/>
        </w:rPr>
      </w:pPr>
      <w:r w:rsidRPr="00AA3028">
        <w:rPr>
          <w:rFonts w:cs="Arial"/>
        </w:rPr>
        <w:t xml:space="preserve">The National Fire Chiefs Council (NFCC) and the Local Government Association (LGA) have proposed that across FRSs in England, the sector could create 2% of non-pay efficiencies and to increase productivity by 3% in the period 2021/22 to 2024/25. </w:t>
      </w:r>
    </w:p>
    <w:p w14:paraId="64E364B1" w14:textId="4A17A12C" w:rsidR="0098029E" w:rsidRDefault="00AA3028" w:rsidP="00540C48">
      <w:pPr>
        <w:rPr>
          <w:rFonts w:cs="Arial"/>
        </w:rPr>
      </w:pPr>
      <w:r w:rsidRPr="00AA3028">
        <w:rPr>
          <w:rFonts w:cs="Arial"/>
        </w:rPr>
        <w:t xml:space="preserve">The Minister has requested detail around these plans, and how the individual </w:t>
      </w:r>
      <w:r w:rsidR="005C7E09">
        <w:rPr>
          <w:rFonts w:cs="Arial"/>
        </w:rPr>
        <w:t>fire and rescue authorities (F</w:t>
      </w:r>
      <w:r w:rsidRPr="00AA3028">
        <w:rPr>
          <w:rFonts w:cs="Arial"/>
        </w:rPr>
        <w:t>RA</w:t>
      </w:r>
      <w:r w:rsidR="005C7E09">
        <w:rPr>
          <w:rFonts w:cs="Arial"/>
        </w:rPr>
        <w:t>)</w:t>
      </w:r>
      <w:r w:rsidRPr="00AA3028">
        <w:rPr>
          <w:rFonts w:cs="Arial"/>
        </w:rPr>
        <w:t xml:space="preserve"> plans will align with the national productivity and efficiency targets that have been set for the 2021/22-2024/25 Spending Review period</w:t>
      </w:r>
      <w:r w:rsidR="005C7E09">
        <w:rPr>
          <w:rFonts w:cs="Arial"/>
        </w:rPr>
        <w:t>.  D</w:t>
      </w:r>
      <w:r w:rsidR="00ED5154">
        <w:rPr>
          <w:rFonts w:cs="Arial"/>
        </w:rPr>
        <w:t xml:space="preserve">etails of this are set out </w:t>
      </w:r>
      <w:r w:rsidR="00F616F2">
        <w:rPr>
          <w:rFonts w:cs="Arial"/>
        </w:rPr>
        <w:t xml:space="preserve">in the </w:t>
      </w:r>
      <w:proofErr w:type="gramStart"/>
      <w:r w:rsidR="00F616F2">
        <w:rPr>
          <w:rFonts w:cs="Arial"/>
        </w:rPr>
        <w:t>Home</w:t>
      </w:r>
      <w:proofErr w:type="gramEnd"/>
      <w:r w:rsidR="00F616F2">
        <w:rPr>
          <w:rFonts w:cs="Arial"/>
        </w:rPr>
        <w:t xml:space="preserve"> Office template in</w:t>
      </w:r>
      <w:r w:rsidR="00ED5154" w:rsidRPr="00AA3028">
        <w:rPr>
          <w:rFonts w:cs="Arial"/>
        </w:rPr>
        <w:t xml:space="preserve"> </w:t>
      </w:r>
      <w:r w:rsidRPr="00AA3028">
        <w:rPr>
          <w:rFonts w:cs="Arial"/>
        </w:rPr>
        <w:t xml:space="preserve">Appendix </w:t>
      </w:r>
      <w:r w:rsidR="00F616F2">
        <w:rPr>
          <w:rFonts w:cs="Arial"/>
        </w:rPr>
        <w:t>A</w:t>
      </w:r>
      <w:r w:rsidRPr="00AA3028">
        <w:rPr>
          <w:rFonts w:cs="Arial"/>
        </w:rPr>
        <w:t>.</w:t>
      </w:r>
    </w:p>
    <w:p w14:paraId="02455352" w14:textId="536E6A42" w:rsidR="00F951B7" w:rsidRDefault="00F951B7" w:rsidP="0060771C">
      <w:pPr>
        <w:pStyle w:val="Heading2"/>
      </w:pPr>
      <w:bookmarkStart w:id="13" w:name="_Toc130991395"/>
      <w:r>
        <w:t>Our Journey So Far</w:t>
      </w:r>
      <w:bookmarkEnd w:id="13"/>
    </w:p>
    <w:bookmarkEnd w:id="9"/>
    <w:bookmarkEnd w:id="12"/>
    <w:p w14:paraId="396BB30B" w14:textId="08092A00" w:rsidR="00FD37A8" w:rsidRDefault="001227F6" w:rsidP="00540E5B">
      <w:pPr>
        <w:rPr>
          <w:color w:val="FF0000"/>
        </w:rPr>
      </w:pPr>
      <w:r w:rsidRPr="000C73B0">
        <w:rPr>
          <w:rFonts w:cs="Arial"/>
        </w:rPr>
        <w:t>The Service has a long-standing track record in delivering efficiency savings through a range of initiatives</w:t>
      </w:r>
      <w:r w:rsidR="00E86E3A">
        <w:rPr>
          <w:rFonts w:cs="Arial"/>
        </w:rPr>
        <w:t xml:space="preserve">, including </w:t>
      </w:r>
      <w:r w:rsidRPr="000C73B0">
        <w:rPr>
          <w:rFonts w:cs="Arial"/>
        </w:rPr>
        <w:t>fire cover</w:t>
      </w:r>
      <w:r w:rsidR="00E86E3A">
        <w:rPr>
          <w:rFonts w:cs="Arial"/>
        </w:rPr>
        <w:t xml:space="preserve"> reviews</w:t>
      </w:r>
      <w:r w:rsidRPr="000C73B0">
        <w:rPr>
          <w:rFonts w:cs="Arial"/>
        </w:rPr>
        <w:t>, crewing</w:t>
      </w:r>
      <w:r w:rsidR="00927537">
        <w:rPr>
          <w:rFonts w:cs="Arial"/>
        </w:rPr>
        <w:t xml:space="preserve"> arrangements</w:t>
      </w:r>
      <w:r w:rsidRPr="000C73B0">
        <w:rPr>
          <w:rFonts w:cs="Arial"/>
        </w:rPr>
        <w:t>, use of procurement to deliver savings, service reviews, management of ill-health retirement, predating our latest Efficiency Plan</w:t>
      </w:r>
      <w:r w:rsidR="00222C5C">
        <w:rPr>
          <w:rFonts w:cs="Arial"/>
        </w:rPr>
        <w:t>.</w:t>
      </w:r>
      <w:r w:rsidRPr="000C73B0">
        <w:rPr>
          <w:rFonts w:cs="Arial"/>
        </w:rPr>
        <w:t xml:space="preserve"> </w:t>
      </w:r>
    </w:p>
    <w:p w14:paraId="77617171" w14:textId="20C5FD4E" w:rsidR="00A44E0E" w:rsidRDefault="00A44E0E" w:rsidP="004D0467">
      <w:r>
        <w:t>Since 2010 we have secured over £47m of annual savings:</w:t>
      </w:r>
    </w:p>
    <w:p w14:paraId="7049E52C" w14:textId="77777777" w:rsidR="00A44E0E" w:rsidRDefault="00A44E0E" w:rsidP="00BC6089">
      <w:pPr>
        <w:pStyle w:val="ListParagraph"/>
        <w:numPr>
          <w:ilvl w:val="0"/>
          <w:numId w:val="7"/>
        </w:numPr>
      </w:pPr>
      <w:r>
        <w:t xml:space="preserve">Between 2009/10 and 2015/16 we delivered £28m of savings through changes to crewing arrangements, Control Room functions, flexible resource deployment and management and support services. </w:t>
      </w:r>
    </w:p>
    <w:p w14:paraId="5DE9C331" w14:textId="77777777" w:rsidR="00A44E0E" w:rsidRDefault="00A44E0E" w:rsidP="00BC6089">
      <w:pPr>
        <w:pStyle w:val="ListParagraph"/>
        <w:numPr>
          <w:ilvl w:val="0"/>
          <w:numId w:val="7"/>
        </w:numPr>
      </w:pPr>
      <w:r>
        <w:t xml:space="preserve">Our subsequent Efficiency Plan for 2016-2019 delivered a further £13.3m annual savings. </w:t>
      </w:r>
    </w:p>
    <w:p w14:paraId="6BF21287" w14:textId="727FA7B3" w:rsidR="00A44E0E" w:rsidRDefault="00A44E0E" w:rsidP="00BC6089">
      <w:pPr>
        <w:pStyle w:val="ListParagraph"/>
        <w:numPr>
          <w:ilvl w:val="0"/>
          <w:numId w:val="7"/>
        </w:numPr>
      </w:pPr>
      <w:r>
        <w:t xml:space="preserve">Our ‘Programme for Change’ undertaken in 2019/20 included a whole Service review and development and implementation of a new operating model. This has delivered additional savings of £5.8m per year. </w:t>
      </w:r>
    </w:p>
    <w:p w14:paraId="27B54809" w14:textId="51388BB8" w:rsidR="001E1066" w:rsidRPr="005167DE" w:rsidRDefault="001E1066" w:rsidP="00BC6089">
      <w:pPr>
        <w:pStyle w:val="ListParagraph"/>
        <w:numPr>
          <w:ilvl w:val="0"/>
          <w:numId w:val="7"/>
        </w:numPr>
      </w:pPr>
      <w:r w:rsidRPr="00A630BF">
        <w:t xml:space="preserve">In 2021/22, savings of £1.458m were originally identified through Programme for Change, however, alternative savings </w:t>
      </w:r>
      <w:r>
        <w:t>were</w:t>
      </w:r>
      <w:r w:rsidRPr="00A630BF">
        <w:t xml:space="preserve"> identified to replace those held against pump reductions. Further alternative savings of £1.394</w:t>
      </w:r>
      <w:r w:rsidRPr="003E5DEA">
        <w:t>m</w:t>
      </w:r>
      <w:r w:rsidRPr="00A630BF">
        <w:t xml:space="preserve"> identified via a </w:t>
      </w:r>
      <w:r w:rsidRPr="003E5DEA">
        <w:t>line-by-line</w:t>
      </w:r>
      <w:r w:rsidRPr="00A630BF">
        <w:t xml:space="preserve"> review includ</w:t>
      </w:r>
      <w:r>
        <w:t>e</w:t>
      </w:r>
      <w:r w:rsidRPr="00A630BF">
        <w:t xml:space="preserve"> the reduction in employee budget because of pay award being lower than anticipated in 2020/21</w:t>
      </w:r>
      <w:r w:rsidR="00A04229">
        <w:t>, re</w:t>
      </w:r>
      <w:r w:rsidRPr="00A630BF">
        <w:t>sulted in total savings of £2.857m for 2021/22.</w:t>
      </w:r>
    </w:p>
    <w:p w14:paraId="15BA8DEA" w14:textId="69C06194" w:rsidR="007F046E" w:rsidRDefault="007F046E" w:rsidP="00BC6089">
      <w:pPr>
        <w:pStyle w:val="ListParagraph"/>
        <w:numPr>
          <w:ilvl w:val="0"/>
          <w:numId w:val="7"/>
        </w:numPr>
      </w:pPr>
      <w:r w:rsidRPr="00A31714">
        <w:lastRenderedPageBreak/>
        <w:t xml:space="preserve">We continue to set a non-pay savings target for future financial years. A target of £1.5m </w:t>
      </w:r>
      <w:r w:rsidR="00BE0AD1">
        <w:t>was</w:t>
      </w:r>
      <w:r w:rsidRPr="00A31714">
        <w:t xml:space="preserve"> </w:t>
      </w:r>
      <w:r w:rsidR="009A7AEA">
        <w:t xml:space="preserve">agreed </w:t>
      </w:r>
      <w:r w:rsidR="00387A37">
        <w:t>to be delivered</w:t>
      </w:r>
      <w:r w:rsidRPr="00A31714">
        <w:t xml:space="preserve"> across two financial years, with £0.788m in 2022/23</w:t>
      </w:r>
      <w:r w:rsidR="00F46700">
        <w:t>,</w:t>
      </w:r>
      <w:r w:rsidRPr="00A31714">
        <w:t xml:space="preserve"> follow</w:t>
      </w:r>
      <w:r w:rsidR="00F46700">
        <w:t>ed by</w:t>
      </w:r>
      <w:r w:rsidRPr="00A31714">
        <w:t xml:space="preserve"> a line-by-line review and Business Rates payable review, and a further £0.712m in 2023/24. </w:t>
      </w:r>
    </w:p>
    <w:p w14:paraId="2194F970" w14:textId="77777777" w:rsidR="004330DB" w:rsidRDefault="004330DB" w:rsidP="00BC6089">
      <w:pPr>
        <w:pStyle w:val="ListParagraph"/>
        <w:numPr>
          <w:ilvl w:val="0"/>
          <w:numId w:val="7"/>
        </w:numPr>
      </w:pPr>
      <w:r w:rsidRPr="000C73B0">
        <w:t>Our Efficiency Plan covering the period 2021/22 to 2024/25 comprises initiatives relating to crewing models</w:t>
      </w:r>
      <w:r>
        <w:t xml:space="preserve">, procurement, line by line budget reviews and </w:t>
      </w:r>
      <w:r w:rsidRPr="000C73B0">
        <w:t xml:space="preserve">service reviews to deliver the savings required. Savings plans are smoothed using reserves to allow for appropriate review of the potential implications. </w:t>
      </w:r>
    </w:p>
    <w:p w14:paraId="2830B48C" w14:textId="43CC5E2D" w:rsidR="00CE2885" w:rsidRPr="006D6A95" w:rsidRDefault="00CE2885" w:rsidP="006D6A95">
      <w:pPr>
        <w:pStyle w:val="Heading3"/>
        <w:rPr>
          <w:rFonts w:cstheme="minorHAnsi"/>
          <w:color w:val="auto"/>
          <w:sz w:val="28"/>
        </w:rPr>
      </w:pPr>
      <w:r w:rsidRPr="00E118EE">
        <w:t>Efficiency and Productivity Gains</w:t>
      </w:r>
    </w:p>
    <w:p w14:paraId="6F8B22F7" w14:textId="1C0B1054" w:rsidR="00CE2885" w:rsidRPr="00217280" w:rsidRDefault="00CE2885" w:rsidP="00CE2885">
      <w:pPr>
        <w:contextualSpacing/>
        <w:jc w:val="both"/>
        <w:rPr>
          <w:rFonts w:cs="Arial"/>
        </w:rPr>
      </w:pPr>
      <w:r w:rsidRPr="00217280">
        <w:rPr>
          <w:rFonts w:cs="Arial"/>
          <w:bCs/>
        </w:rPr>
        <w:t xml:space="preserve">The Service continues to build on the successful introduction of our GMFRS Improvement Programme in 2021, </w:t>
      </w:r>
      <w:r>
        <w:rPr>
          <w:rFonts w:cs="Arial"/>
          <w:bCs/>
        </w:rPr>
        <w:t>delivering efficiencies and improving productivity across a range of areas</w:t>
      </w:r>
      <w:r w:rsidR="005D6899">
        <w:rPr>
          <w:rFonts w:cs="Arial"/>
          <w:bCs/>
        </w:rPr>
        <w:t>.  As summary of the key areas can be found below.</w:t>
      </w:r>
    </w:p>
    <w:p w14:paraId="3F791667" w14:textId="5CB589E1" w:rsidR="3F7E7C85" w:rsidRDefault="3F7E7C85" w:rsidP="00BC6089">
      <w:pPr>
        <w:pStyle w:val="ListParagraph"/>
        <w:numPr>
          <w:ilvl w:val="0"/>
          <w:numId w:val="9"/>
        </w:numPr>
      </w:pPr>
      <w:r>
        <w:t>Launched a new Sustainability Strategy across Greater Manchester Combined Authority</w:t>
      </w:r>
      <w:r w:rsidR="00142694">
        <w:t>. (GMCA)</w:t>
      </w:r>
      <w:r>
        <w:t xml:space="preserve"> focused on reducing our emissions and driving down our fuel costs.</w:t>
      </w:r>
      <w:r w:rsidR="00142694">
        <w:t xml:space="preserve"> </w:t>
      </w:r>
      <w:r>
        <w:t xml:space="preserve">This builds on our GMFRS Sustainability Strategy which we have had in place </w:t>
      </w:r>
      <w:r w:rsidR="716B9E66">
        <w:t>since 2008 and have delivered significant reductions in gas and electricity usage, as illustrated below:</w:t>
      </w:r>
    </w:p>
    <w:p w14:paraId="27491802" w14:textId="6EAA9F1D" w:rsidR="716B9E66" w:rsidRDefault="716B9E66" w:rsidP="6238DB37">
      <w:r>
        <w:rPr>
          <w:noProof/>
        </w:rPr>
        <w:drawing>
          <wp:inline distT="0" distB="0" distL="0" distR="0" wp14:anchorId="485B252C" wp14:editId="42B58F96">
            <wp:extent cx="5795927" cy="2583180"/>
            <wp:effectExtent l="0" t="0" r="0" b="7620"/>
            <wp:docPr id="1320174004" name="Picture 1320174004" descr="Bar chart detailing the projected electricity consumption versus the actual from 2008 to 2022.  Chart shows year on year positive reductions on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74004" name="Picture 1320174004" descr="Bar chart detailing the projected electricity consumption versus the actual from 2008 to 2022.  Chart shows year on year positive reductions on usage."/>
                    <pic:cNvPicPr/>
                  </pic:nvPicPr>
                  <pic:blipFill>
                    <a:blip r:embed="rId13">
                      <a:extLst>
                        <a:ext uri="{28A0092B-C50C-407E-A947-70E740481C1C}">
                          <a14:useLocalDpi xmlns:a14="http://schemas.microsoft.com/office/drawing/2010/main" val="0"/>
                        </a:ext>
                      </a:extLst>
                    </a:blip>
                    <a:stretch>
                      <a:fillRect/>
                    </a:stretch>
                  </pic:blipFill>
                  <pic:spPr>
                    <a:xfrm>
                      <a:off x="0" y="0"/>
                      <a:ext cx="5804420" cy="2586965"/>
                    </a:xfrm>
                    <a:prstGeom prst="rect">
                      <a:avLst/>
                    </a:prstGeom>
                  </pic:spPr>
                </pic:pic>
              </a:graphicData>
            </a:graphic>
          </wp:inline>
        </w:drawing>
      </w:r>
      <w:commentRangeStart w:id="14"/>
      <w:commentRangeEnd w:id="14"/>
      <w:r w:rsidR="003B1470">
        <w:commentReference w:id="14"/>
      </w:r>
    </w:p>
    <w:p w14:paraId="5D6B56F4" w14:textId="6BE83A06" w:rsidR="716B9E66" w:rsidRDefault="00343A0C" w:rsidP="6238DB37">
      <w:commentRangeStart w:id="15"/>
      <w:commentRangeEnd w:id="15"/>
      <w:r>
        <w:lastRenderedPageBreak/>
        <w:commentReference w:id="15"/>
      </w:r>
      <w:r w:rsidR="716B9E66">
        <w:rPr>
          <w:noProof/>
        </w:rPr>
        <w:drawing>
          <wp:inline distT="0" distB="0" distL="0" distR="0" wp14:anchorId="001F1BC2" wp14:editId="377EA11C">
            <wp:extent cx="5809547" cy="2604770"/>
            <wp:effectExtent l="0" t="0" r="1270" b="5080"/>
            <wp:docPr id="264391476" name="Picture 264391476" descr="Bar chart detailing the projected gas consumption versus the actual from 2008 to 2022.  Chart shows year on year positive reductions on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91476" name="Picture 264391476" descr="Bar chart detailing the projected gas consumption versus the actual from 2008 to 2022.  Chart shows year on year positive reductions on usage."/>
                    <pic:cNvPicPr/>
                  </pic:nvPicPr>
                  <pic:blipFill>
                    <a:blip r:embed="rId17">
                      <a:extLst>
                        <a:ext uri="{28A0092B-C50C-407E-A947-70E740481C1C}">
                          <a14:useLocalDpi xmlns:a14="http://schemas.microsoft.com/office/drawing/2010/main" val="0"/>
                        </a:ext>
                      </a:extLst>
                    </a:blip>
                    <a:stretch>
                      <a:fillRect/>
                    </a:stretch>
                  </pic:blipFill>
                  <pic:spPr>
                    <a:xfrm>
                      <a:off x="0" y="0"/>
                      <a:ext cx="5818673" cy="2608862"/>
                    </a:xfrm>
                    <a:prstGeom prst="rect">
                      <a:avLst/>
                    </a:prstGeom>
                  </pic:spPr>
                </pic:pic>
              </a:graphicData>
            </a:graphic>
          </wp:inline>
        </w:drawing>
      </w:r>
    </w:p>
    <w:p w14:paraId="6189F3EE" w14:textId="3CAAC384" w:rsidR="3F7E7C85" w:rsidRPr="00DA219D" w:rsidRDefault="3F7E7C85" w:rsidP="00BC6089">
      <w:pPr>
        <w:pStyle w:val="ListParagraph"/>
      </w:pPr>
      <w:r w:rsidRPr="00DA219D">
        <w:t>We are installing</w:t>
      </w:r>
      <w:r w:rsidR="00917A23">
        <w:t xml:space="preserve"> electric vehicle (E</w:t>
      </w:r>
      <w:r w:rsidRPr="00DA219D">
        <w:t>V</w:t>
      </w:r>
      <w:r w:rsidR="00917A23">
        <w:t>)</w:t>
      </w:r>
      <w:r w:rsidRPr="00DA219D">
        <w:t xml:space="preserve"> charging points at locations across Greater Manchester and are investing in several electric vehicles to reduce our carbon emissions. </w:t>
      </w:r>
    </w:p>
    <w:p w14:paraId="0CD652DB" w14:textId="7C231DCD" w:rsidR="0012079F" w:rsidRDefault="0012079F" w:rsidP="00BC6089">
      <w:pPr>
        <w:pStyle w:val="ListParagraph"/>
      </w:pPr>
      <w:r w:rsidRPr="002C13A3">
        <w:t>Successfully bid for £0.620m of grant funding from the Public Sector Decarbonisation Scheme (PSDS) Phase 1</w:t>
      </w:r>
      <w:r w:rsidR="00664644">
        <w:t xml:space="preserve"> and </w:t>
      </w:r>
      <w:r w:rsidRPr="002C13A3">
        <w:t>install</w:t>
      </w:r>
      <w:r w:rsidR="002C2478">
        <w:t>ed</w:t>
      </w:r>
      <w:r w:rsidRPr="002C13A3">
        <w:t xml:space="preserve"> LED lighting schemes at 18 fire stations and solar PV (photovoltaic) schemes at two fire stations</w:t>
      </w:r>
      <w:r w:rsidR="00B47CF1">
        <w:t xml:space="preserve">.  These </w:t>
      </w:r>
      <w:r w:rsidRPr="002C13A3">
        <w:t>will reduce carbon emissions by approximately 32 tonnes per year</w:t>
      </w:r>
      <w:r>
        <w:t xml:space="preserve"> and contribute to cost reduction in area</w:t>
      </w:r>
      <w:r w:rsidR="00495D07">
        <w:t>s</w:t>
      </w:r>
      <w:r>
        <w:t xml:space="preserve"> subject to significant inflationary pressures.</w:t>
      </w:r>
      <w:r w:rsidR="6D68320A">
        <w:t xml:space="preserve">  </w:t>
      </w:r>
      <w:r w:rsidR="00F17A32">
        <w:t xml:space="preserve">The return on investment is </w:t>
      </w:r>
      <w:r w:rsidR="00495D07">
        <w:t>anti</w:t>
      </w:r>
      <w:r w:rsidR="00F17A32">
        <w:t xml:space="preserve">cipated </w:t>
      </w:r>
      <w:r w:rsidR="6D68320A">
        <w:t>over 4 years, with cost reductions of £135k p</w:t>
      </w:r>
      <w:r w:rsidR="00682716">
        <w:t>a</w:t>
      </w:r>
      <w:r w:rsidR="180EA168">
        <w:t xml:space="preserve"> contributing to</w:t>
      </w:r>
      <w:r w:rsidR="00D34AB5">
        <w:t xml:space="preserve"> </w:t>
      </w:r>
      <w:r w:rsidR="180EA168">
        <w:t>an area subject to significant inflationary pressures.</w:t>
      </w:r>
    </w:p>
    <w:p w14:paraId="164AE799" w14:textId="1FEEE146" w:rsidR="180EA168" w:rsidRDefault="180EA168" w:rsidP="00BC6089">
      <w:pPr>
        <w:pStyle w:val="ListParagraph"/>
      </w:pPr>
      <w:r>
        <w:t>We have invested in solar photovoltaics across our estate</w:t>
      </w:r>
      <w:r w:rsidR="775C3BC2">
        <w:t xml:space="preserve">.  In 2022/23 this has generated 453,691 </w:t>
      </w:r>
      <w:proofErr w:type="spellStart"/>
      <w:r w:rsidR="775C3BC2">
        <w:t>KwH</w:t>
      </w:r>
      <w:proofErr w:type="spellEnd"/>
      <w:r w:rsidR="775C3BC2">
        <w:t xml:space="preserve"> of electricity, delivering Feed </w:t>
      </w:r>
      <w:r w:rsidR="29B8264E">
        <w:t>in</w:t>
      </w:r>
      <w:r w:rsidR="775C3BC2">
        <w:t xml:space="preserve"> Tariff Income of £54,466 and utility savings of </w:t>
      </w:r>
      <w:r w:rsidR="4C9EE78E">
        <w:t>£102,125, contributing to cost reduction in an area subject to significant inflationary pressures.</w:t>
      </w:r>
    </w:p>
    <w:p w14:paraId="3CAA0D22" w14:textId="0ACD90B4" w:rsidR="00DA4ACC" w:rsidRPr="003E1953" w:rsidRDefault="00DA4ACC" w:rsidP="00BC6089">
      <w:pPr>
        <w:pStyle w:val="ListParagraph"/>
      </w:pPr>
      <w:r w:rsidRPr="002C13A3">
        <w:t xml:space="preserve">Delivered an Estates Programme to create a fit-for purpose estates portfolio that is responsive to current and future needs, supports the delivery of our strategic objectives, and is focused on improving public confidence and reducing </w:t>
      </w:r>
      <w:r w:rsidRPr="00F25F26">
        <w:t xml:space="preserve">costs. </w:t>
      </w:r>
      <w:r w:rsidR="4B16C3AF" w:rsidRPr="00F25F26">
        <w:t xml:space="preserve">We will have two new fire stations in </w:t>
      </w:r>
      <w:r w:rsidR="2A2909E2" w:rsidRPr="00F25F26">
        <w:t xml:space="preserve">Quarter 4 of </w:t>
      </w:r>
      <w:r w:rsidR="4B16C3AF" w:rsidRPr="00F25F26">
        <w:t xml:space="preserve">2024/25 </w:t>
      </w:r>
      <w:r w:rsidR="1DF65747" w:rsidRPr="00F25F26">
        <w:t>at Blackley and Whitefield</w:t>
      </w:r>
      <w:r w:rsidR="077E69D1" w:rsidRPr="00F25F26">
        <w:t>. T</w:t>
      </w:r>
      <w:r w:rsidR="1DF65747" w:rsidRPr="00F25F26">
        <w:t xml:space="preserve">hese </w:t>
      </w:r>
      <w:r w:rsidR="72ADFD40" w:rsidRPr="00F25F26">
        <w:t>are being</w:t>
      </w:r>
      <w:r w:rsidR="4B16C3AF" w:rsidRPr="00F25F26">
        <w:t xml:space="preserve"> built with zero carbon </w:t>
      </w:r>
      <w:r w:rsidR="604B9D3F" w:rsidRPr="00F25F26">
        <w:t>principles and</w:t>
      </w:r>
      <w:r w:rsidR="64BFE6DC" w:rsidRPr="00F25F26">
        <w:t xml:space="preserve"> will deliver </w:t>
      </w:r>
      <w:r w:rsidR="4B16C3AF" w:rsidRPr="00F25F26">
        <w:t xml:space="preserve">carbon reduction and cost </w:t>
      </w:r>
      <w:r w:rsidR="31B37264" w:rsidRPr="00F25F26">
        <w:t xml:space="preserve">avoidance / </w:t>
      </w:r>
      <w:r w:rsidR="4B16C3AF" w:rsidRPr="00F25F26">
        <w:t xml:space="preserve">reduction </w:t>
      </w:r>
      <w:r w:rsidR="3A69CD4E" w:rsidRPr="00F25F26">
        <w:t>in our Efficiency Plan for 2024/25 and onwards</w:t>
      </w:r>
      <w:r w:rsidR="65C78CB2" w:rsidRPr="00F25F26">
        <w:t xml:space="preserve">, contributing </w:t>
      </w:r>
      <w:r w:rsidR="65C78CB2">
        <w:t>to cost reduction in an area subject to significant inflationary pressures</w:t>
      </w:r>
      <w:r w:rsidR="6D0E2CB2">
        <w:t>.</w:t>
      </w:r>
    </w:p>
    <w:p w14:paraId="7A1B2E8C" w14:textId="7F7CFB65" w:rsidR="00DA4ACC" w:rsidRDefault="00DA4ACC" w:rsidP="00BC6089">
      <w:pPr>
        <w:pStyle w:val="ListParagraph"/>
      </w:pPr>
      <w:r w:rsidRPr="002C13A3">
        <w:t xml:space="preserve">Our Contact Centre has made savings and efficiencies with the decommission of an ageing system (CFRMIS) and </w:t>
      </w:r>
      <w:r w:rsidR="008767B6">
        <w:t xml:space="preserve">the </w:t>
      </w:r>
      <w:r w:rsidRPr="002C13A3">
        <w:t xml:space="preserve">move to in-house systems through collaboration with </w:t>
      </w:r>
      <w:proofErr w:type="spellStart"/>
      <w:r w:rsidRPr="002C13A3">
        <w:t>SafeLincs</w:t>
      </w:r>
      <w:proofErr w:type="spellEnd"/>
      <w:r w:rsidR="008767B6">
        <w:t>.  Th</w:t>
      </w:r>
      <w:r w:rsidRPr="002C13A3">
        <w:t>is has made substantial improvements</w:t>
      </w:r>
      <w:r w:rsidR="00B84120">
        <w:t xml:space="preserve"> in internal administration and processing, whilst</w:t>
      </w:r>
      <w:r w:rsidR="004813E6">
        <w:t xml:space="preserve"> also saving </w:t>
      </w:r>
      <w:r w:rsidR="00F25F26">
        <w:t>approximately £20k pa.</w:t>
      </w:r>
    </w:p>
    <w:p w14:paraId="07DA5544" w14:textId="432A2D48" w:rsidR="007A7722" w:rsidRPr="00935932" w:rsidRDefault="00935932" w:rsidP="00BC6089">
      <w:pPr>
        <w:pStyle w:val="ListParagraph"/>
      </w:pPr>
      <w:r>
        <w:t>The i</w:t>
      </w:r>
      <w:r w:rsidR="006A1EEC" w:rsidRPr="00567DDF">
        <w:t xml:space="preserve">ntroduction of </w:t>
      </w:r>
      <w:proofErr w:type="spellStart"/>
      <w:r w:rsidR="006A1EEC" w:rsidRPr="00567DDF">
        <w:t>Safelincs</w:t>
      </w:r>
      <w:proofErr w:type="spellEnd"/>
      <w:r w:rsidR="0070078A" w:rsidRPr="00567DDF">
        <w:t xml:space="preserve">, </w:t>
      </w:r>
      <w:r w:rsidR="008B70A7">
        <w:t xml:space="preserve">which is </w:t>
      </w:r>
      <w:r w:rsidR="0070078A" w:rsidRPr="00567DDF">
        <w:t xml:space="preserve">our online </w:t>
      </w:r>
      <w:r w:rsidR="00330550" w:rsidRPr="00567DDF">
        <w:t xml:space="preserve">assessment tool for </w:t>
      </w:r>
      <w:r w:rsidR="008B70A7">
        <w:t>h</w:t>
      </w:r>
      <w:r w:rsidR="007A7722" w:rsidRPr="00567DDF">
        <w:t xml:space="preserve">ome </w:t>
      </w:r>
      <w:r w:rsidR="008B70A7">
        <w:t>f</w:t>
      </w:r>
      <w:r w:rsidR="007A7722" w:rsidRPr="00567DDF">
        <w:t xml:space="preserve">ire </w:t>
      </w:r>
      <w:r w:rsidR="00C1668A">
        <w:t>s</w:t>
      </w:r>
      <w:r w:rsidR="007A7722" w:rsidRPr="00567DDF">
        <w:t>afet</w:t>
      </w:r>
      <w:r w:rsidR="00F96BEE" w:rsidRPr="00567DDF">
        <w:t>y,</w:t>
      </w:r>
      <w:r w:rsidR="00C1668A">
        <w:t xml:space="preserve"> </w:t>
      </w:r>
      <w:r w:rsidR="007A7722" w:rsidRPr="00567DDF">
        <w:t>target</w:t>
      </w:r>
      <w:r w:rsidR="00F96BEE" w:rsidRPr="00567DDF">
        <w:t>s</w:t>
      </w:r>
      <w:r w:rsidR="007A7722" w:rsidRPr="00567DDF">
        <w:t xml:space="preserve"> those most at risk</w:t>
      </w:r>
      <w:r w:rsidR="00567DDF" w:rsidRPr="00567DDF">
        <w:t xml:space="preserve">.  </w:t>
      </w:r>
      <w:r w:rsidR="00C1668A">
        <w:t xml:space="preserve">By targeting in this way, it </w:t>
      </w:r>
      <w:r w:rsidR="00AF58E9">
        <w:t>creates capacity for our operational crews</w:t>
      </w:r>
      <w:r w:rsidR="00083193">
        <w:t xml:space="preserve">, </w:t>
      </w:r>
      <w:r w:rsidR="007658DF" w:rsidRPr="00935932">
        <w:t>ensur</w:t>
      </w:r>
      <w:r w:rsidR="00083193">
        <w:t>ing</w:t>
      </w:r>
      <w:r w:rsidR="007658DF" w:rsidRPr="00935932">
        <w:t xml:space="preserve"> households where the risk of fire is deemed to be lower</w:t>
      </w:r>
      <w:r w:rsidR="00083193">
        <w:t xml:space="preserve"> are directed to </w:t>
      </w:r>
      <w:r w:rsidR="007658DF" w:rsidRPr="00935932">
        <w:t xml:space="preserve">important safety advice, whereas those identified as </w:t>
      </w:r>
      <w:r w:rsidR="007658DF" w:rsidRPr="00935932">
        <w:lastRenderedPageBreak/>
        <w:t>higher risk receive a physical visit</w:t>
      </w:r>
      <w:r w:rsidR="00083193">
        <w:t>, known as a Home Fire Safety Assessment</w:t>
      </w:r>
      <w:r w:rsidR="00AA2F04">
        <w:t xml:space="preserve"> (HFSA)</w:t>
      </w:r>
      <w:r w:rsidR="00083193">
        <w:t>.</w:t>
      </w:r>
    </w:p>
    <w:p w14:paraId="442D222D" w14:textId="3529BAC7" w:rsidR="00DA4ACC" w:rsidRPr="00DA4ACC" w:rsidRDefault="00DA4ACC" w:rsidP="00BC6089">
      <w:pPr>
        <w:pStyle w:val="ListParagraph"/>
      </w:pPr>
      <w:r w:rsidRPr="00397BD9">
        <w:t xml:space="preserve">Invested £0.200m in new audio-visual technology installed across all our fire stations, addressing some of the barriers of bringing staff together </w:t>
      </w:r>
      <w:r w:rsidR="003F29C7">
        <w:t xml:space="preserve">and providing opportunities </w:t>
      </w:r>
      <w:r w:rsidRPr="00397BD9">
        <w:t xml:space="preserve">to deliver </w:t>
      </w:r>
      <w:r w:rsidR="00B30EA0">
        <w:t>debrief</w:t>
      </w:r>
      <w:r w:rsidR="003E105C">
        <w:t xml:space="preserve">s remotely, undertake </w:t>
      </w:r>
      <w:r w:rsidRPr="00397BD9">
        <w:t xml:space="preserve">training </w:t>
      </w:r>
      <w:r w:rsidR="003E105C">
        <w:t>and</w:t>
      </w:r>
      <w:r w:rsidRPr="00397BD9">
        <w:t xml:space="preserve"> shar</w:t>
      </w:r>
      <w:r w:rsidR="003E105C">
        <w:t>ing</w:t>
      </w:r>
      <w:r w:rsidRPr="00397BD9">
        <w:t xml:space="preserve"> key messages. It has reduced the amount of time and money staff are spending travelling, reduced the amount of fuel used and pollution generated.</w:t>
      </w:r>
      <w:r>
        <w:t xml:space="preserve"> </w:t>
      </w:r>
    </w:p>
    <w:p w14:paraId="594F06D0" w14:textId="66769011" w:rsidR="1E7A8969" w:rsidRDefault="00EE37A0" w:rsidP="00BC6089">
      <w:pPr>
        <w:pStyle w:val="ListParagraph"/>
      </w:pPr>
      <w:r>
        <w:t>S</w:t>
      </w:r>
      <w:r w:rsidR="1DAE75A4">
        <w:t>hared our Training and Development Centre with</w:t>
      </w:r>
      <w:r w:rsidR="005B5681">
        <w:t xml:space="preserve"> other </w:t>
      </w:r>
      <w:r w:rsidR="67280002">
        <w:t>local authorities for the</w:t>
      </w:r>
      <w:r w:rsidR="005B5681">
        <w:t xml:space="preserve"> joint</w:t>
      </w:r>
      <w:r w:rsidR="67280002">
        <w:t xml:space="preserve"> Places for Everyone inquiry.  This has generated a </w:t>
      </w:r>
      <w:r w:rsidR="52330783">
        <w:t>one-off saving in running costs of £150,000 in 2</w:t>
      </w:r>
      <w:r w:rsidR="39A6ED95">
        <w:t>022/</w:t>
      </w:r>
      <w:proofErr w:type="gramStart"/>
      <w:r w:rsidR="39A6ED95">
        <w:t>23.</w:t>
      </w:r>
      <w:r w:rsidR="52330783">
        <w:t>.</w:t>
      </w:r>
      <w:proofErr w:type="gramEnd"/>
      <w:r w:rsidR="1DAE75A4">
        <w:t xml:space="preserve"> </w:t>
      </w:r>
    </w:p>
    <w:p w14:paraId="3ED5F2ED" w14:textId="0D4E715B" w:rsidR="00DA4ACC" w:rsidRPr="00F25F26" w:rsidRDefault="00D34AB5" w:rsidP="00BC6089">
      <w:pPr>
        <w:pStyle w:val="ListParagraph"/>
      </w:pPr>
      <w:r>
        <w:t>P</w:t>
      </w:r>
      <w:r w:rsidR="00DA4ACC">
        <w:t xml:space="preserve">artners in </w:t>
      </w:r>
      <w:proofErr w:type="gramStart"/>
      <w:r w:rsidR="00DA4ACC">
        <w:t>North</w:t>
      </w:r>
      <w:r w:rsidR="00D4273C">
        <w:t xml:space="preserve"> W</w:t>
      </w:r>
      <w:r w:rsidR="00DA4ACC">
        <w:t>est</w:t>
      </w:r>
      <w:proofErr w:type="gramEnd"/>
      <w:r w:rsidR="00DA4ACC">
        <w:t xml:space="preserve"> Fire Control, our Control Room function</w:t>
      </w:r>
      <w:r w:rsidR="00DA4ACC" w:rsidRPr="00F25F26">
        <w:t>, jointly owned by ourselves, Lancashire, Cumbria and Cheshire Fire and Rescue Services.</w:t>
      </w:r>
    </w:p>
    <w:p w14:paraId="561C819C" w14:textId="6BF2695C" w:rsidR="007243DF" w:rsidRDefault="00DA4ACC" w:rsidP="00BC6089">
      <w:pPr>
        <w:pStyle w:val="ListParagraph"/>
      </w:pPr>
      <w:r w:rsidRPr="00F25F26">
        <w:t xml:space="preserve">We </w:t>
      </w:r>
      <w:r w:rsidR="005401A5" w:rsidRPr="00F25F26">
        <w:t>use</w:t>
      </w:r>
      <w:r w:rsidRPr="00F25F26">
        <w:t xml:space="preserve"> collaborative procurement opportunities where we can, using national, regional, and local frameworks and we work regularly with local partners on specific commodities. When procuring goods and services we work collaboratively with F</w:t>
      </w:r>
      <w:r w:rsidR="005B5681">
        <w:t>RSs</w:t>
      </w:r>
      <w:r w:rsidRPr="00F25F26">
        <w:t xml:space="preserve"> across the Northwest to explore opportunities for shared contracts that would deliver savings and foster innovation by offering added capacity, expertise, and coordination. </w:t>
      </w:r>
    </w:p>
    <w:p w14:paraId="1132CCA3" w14:textId="0697FE87" w:rsidR="00603AC4" w:rsidRDefault="00EE37A0" w:rsidP="00BC6089">
      <w:pPr>
        <w:pStyle w:val="ListParagraph"/>
      </w:pPr>
      <w:r>
        <w:t xml:space="preserve">Introduced </w:t>
      </w:r>
      <w:r w:rsidR="007243DF">
        <w:t>share</w:t>
      </w:r>
      <w:r>
        <w:t>d</w:t>
      </w:r>
      <w:r w:rsidR="007243DF">
        <w:t xml:space="preserve"> premises with other emergency services partners at several locations across Greater Manchester.  </w:t>
      </w:r>
      <w:proofErr w:type="spellStart"/>
      <w:r w:rsidR="007243DF">
        <w:t>Irlam</w:t>
      </w:r>
      <w:proofErr w:type="spellEnd"/>
      <w:r w:rsidR="007243DF">
        <w:t xml:space="preserve"> Fire Station is </w:t>
      </w:r>
      <w:r w:rsidR="007243DF" w:rsidRPr="00477E02">
        <w:t xml:space="preserve">a tri-service station providing both shared accommodation for Fire, Police and Ambulance Service, </w:t>
      </w:r>
      <w:r w:rsidR="007243DF" w:rsidRPr="005A16E3">
        <w:t>along with Philips Park Fire Station being a bi-service station providing shared accommodation for Fire and Ambulance Service</w:t>
      </w:r>
      <w:r w:rsidR="007243DF" w:rsidRPr="00477E02">
        <w:t>.  Wigan Community Fire and Ambulance station is a newly built facility for both Services.</w:t>
      </w:r>
      <w:r w:rsidR="007243DF">
        <w:t xml:space="preserve"> </w:t>
      </w:r>
      <w:r w:rsidR="007243DF" w:rsidRPr="005A16E3">
        <w:t xml:space="preserve">Bolton Central Fire Station shares accommodation with Ambulance Patient Transfer Services. </w:t>
      </w:r>
      <w:proofErr w:type="gramStart"/>
      <w:r w:rsidR="007243DF">
        <w:t>All of</w:t>
      </w:r>
      <w:proofErr w:type="gramEnd"/>
      <w:r w:rsidR="007243DF">
        <w:t xml:space="preserve"> these shared premises provide</w:t>
      </w:r>
      <w:r w:rsidR="007243DF" w:rsidRPr="00477E02">
        <w:t xml:space="preserve"> significant opportunities for collaborative work</w:t>
      </w:r>
      <w:r w:rsidR="007243DF">
        <w:t xml:space="preserve">. </w:t>
      </w:r>
    </w:p>
    <w:p w14:paraId="59C948C7" w14:textId="4D0F7F5B" w:rsidR="63489383" w:rsidRPr="009148CC" w:rsidRDefault="63489383" w:rsidP="00BC6089">
      <w:pPr>
        <w:pStyle w:val="ListParagraph"/>
      </w:pPr>
      <w:r w:rsidRPr="00F25F26">
        <w:t xml:space="preserve">We </w:t>
      </w:r>
      <w:r w:rsidRPr="009148CC">
        <w:t xml:space="preserve">undertake procurement exercises in line with the Greater Manchester Combined Authority Constitution, Financial Regulations, Contract Procedure Rules and Public Contract Regulations. </w:t>
      </w:r>
    </w:p>
    <w:p w14:paraId="2E145A8F" w14:textId="0F08435A" w:rsidR="63489383" w:rsidRPr="009148CC" w:rsidRDefault="63489383" w:rsidP="00BC6089">
      <w:pPr>
        <w:pStyle w:val="ListParagraph"/>
      </w:pPr>
      <w:r w:rsidRPr="009148CC">
        <w:t xml:space="preserve">We collaborate with other northwest </w:t>
      </w:r>
      <w:r w:rsidR="00EB1032">
        <w:t>FRAs</w:t>
      </w:r>
      <w:r w:rsidRPr="009148CC">
        <w:t xml:space="preserve">, GMP (Greater Manchester Police) and Greater Manchester local authorities. Collaboration is </w:t>
      </w:r>
      <w:r w:rsidR="00552CD0">
        <w:t>always</w:t>
      </w:r>
      <w:r w:rsidRPr="009148CC">
        <w:t xml:space="preserve"> considered when undertaking procurements and GMFRS will also make use of regional and national frameworks where appropriate. </w:t>
      </w:r>
      <w:r w:rsidR="7E828552" w:rsidRPr="009148CC">
        <w:t>Specific e</w:t>
      </w:r>
      <w:r w:rsidRPr="009148CC">
        <w:t>xamples include:</w:t>
      </w:r>
    </w:p>
    <w:p w14:paraId="7F4A5CF8" w14:textId="22618221" w:rsidR="63489383" w:rsidRPr="009148CC" w:rsidRDefault="63489383" w:rsidP="00BC6089">
      <w:pPr>
        <w:pStyle w:val="ListParagraph"/>
        <w:numPr>
          <w:ilvl w:val="0"/>
          <w:numId w:val="39"/>
        </w:numPr>
      </w:pPr>
      <w:r w:rsidRPr="009148CC">
        <w:t>Laundry, Maintenance and Repair of F</w:t>
      </w:r>
      <w:r w:rsidR="007D47B1">
        <w:t>RS</w:t>
      </w:r>
      <w:r w:rsidRPr="009148CC">
        <w:t xml:space="preserve"> PPE – Managed by GMFRS on behalf of northwest regional</w:t>
      </w:r>
      <w:r w:rsidR="00552CD0">
        <w:t xml:space="preserve"> FRAs</w:t>
      </w:r>
      <w:r w:rsidR="2FDC49AF">
        <w:t xml:space="preserve">.  </w:t>
      </w:r>
      <w:r w:rsidR="0883CE4C">
        <w:t>In 2021 we agreed a fixed price contract extension mean</w:t>
      </w:r>
      <w:r w:rsidR="007D47B1">
        <w:t>ing</w:t>
      </w:r>
      <w:r w:rsidR="0883CE4C">
        <w:t xml:space="preserve"> prices were held for 7 years.</w:t>
      </w:r>
    </w:p>
    <w:p w14:paraId="4116EF0B" w14:textId="5366EF8B" w:rsidR="10AA826D" w:rsidRDefault="0883CE4C" w:rsidP="00BC6089">
      <w:pPr>
        <w:pStyle w:val="ListParagraph"/>
        <w:numPr>
          <w:ilvl w:val="0"/>
          <w:numId w:val="39"/>
        </w:numPr>
      </w:pPr>
      <w:r>
        <w:t xml:space="preserve">Smoke </w:t>
      </w:r>
      <w:r w:rsidR="0A09E2B1">
        <w:t>alarm</w:t>
      </w:r>
      <w:r w:rsidR="4258CB52">
        <w:t>s</w:t>
      </w:r>
      <w:r>
        <w:t xml:space="preserve"> – we use the national framework operated by West Midlands F</w:t>
      </w:r>
      <w:r w:rsidR="00552CD0">
        <w:t>R</w:t>
      </w:r>
      <w:r w:rsidR="008A2A1F">
        <w:t>S</w:t>
      </w:r>
      <w:r>
        <w:t xml:space="preserve"> for this commodity.  This generates savings on a volume bas</w:t>
      </w:r>
      <w:r w:rsidR="7DCFC2EF">
        <w:t xml:space="preserve">is of £30,000 per annum.  In addition, we benefit from productivity gains through familiarity with </w:t>
      </w:r>
      <w:r w:rsidR="2737EBA7">
        <w:t>fixi</w:t>
      </w:r>
      <w:r w:rsidR="50AC0088">
        <w:t>ng methods for</w:t>
      </w:r>
      <w:r w:rsidR="19158A9A">
        <w:t xml:space="preserve"> our operational staff, an</w:t>
      </w:r>
      <w:r w:rsidR="7AD678D8">
        <w:t xml:space="preserve">d easy / quicker processes for replacement of faulty </w:t>
      </w:r>
      <w:r w:rsidR="7B8248D4">
        <w:t>items.</w:t>
      </w:r>
    </w:p>
    <w:p w14:paraId="025E5989" w14:textId="6EDA7D6D" w:rsidR="5FBFCC37" w:rsidRDefault="6362083B" w:rsidP="00BC6089">
      <w:pPr>
        <w:pStyle w:val="ListParagraph"/>
        <w:numPr>
          <w:ilvl w:val="0"/>
          <w:numId w:val="39"/>
        </w:numPr>
        <w:rPr>
          <w:szCs w:val="24"/>
        </w:rPr>
      </w:pPr>
      <w:r>
        <w:t xml:space="preserve">Learning Management System </w:t>
      </w:r>
      <w:r w:rsidR="004A4E26">
        <w:t>(LMS)</w:t>
      </w:r>
      <w:r>
        <w:t xml:space="preserve"> – we have </w:t>
      </w:r>
      <w:r w:rsidR="1BAD2A9F">
        <w:t xml:space="preserve">recently </w:t>
      </w:r>
      <w:r>
        <w:t>used t</w:t>
      </w:r>
      <w:r w:rsidRPr="5FBFCC37">
        <w:t>he Crown Commercial Services G-Cloud framework for our L</w:t>
      </w:r>
      <w:r w:rsidR="004A4E26">
        <w:t>MS</w:t>
      </w:r>
      <w:r w:rsidRPr="5FBFCC37">
        <w:t>, this will save us £35,000 from December 2022 for the next four years.</w:t>
      </w:r>
    </w:p>
    <w:p w14:paraId="43196F9C" w14:textId="55E692F8" w:rsidR="0B53BD5B" w:rsidRPr="00A516ED" w:rsidRDefault="0B53BD5B" w:rsidP="00E71427">
      <w:pPr>
        <w:spacing w:after="80"/>
        <w:ind w:left="284"/>
        <w:rPr>
          <w:rFonts w:eastAsia="Arial Nova" w:cs="Arial"/>
          <w:szCs w:val="24"/>
        </w:rPr>
      </w:pPr>
      <w:r w:rsidRPr="00A516ED">
        <w:rPr>
          <w:rFonts w:eastAsia="Arial Nova" w:cs="Arial"/>
          <w:szCs w:val="24"/>
        </w:rPr>
        <w:t>Other examples include:</w:t>
      </w:r>
    </w:p>
    <w:p w14:paraId="135B46D2" w14:textId="6B13C495" w:rsidR="63489383" w:rsidRPr="009148CC" w:rsidRDefault="63489383" w:rsidP="00BC6089">
      <w:pPr>
        <w:pStyle w:val="ListParagraph"/>
        <w:numPr>
          <w:ilvl w:val="0"/>
          <w:numId w:val="39"/>
        </w:numPr>
      </w:pPr>
      <w:r w:rsidRPr="009148CC">
        <w:lastRenderedPageBreak/>
        <w:t xml:space="preserve">Supply of Station Wear </w:t>
      </w:r>
      <w:r w:rsidR="00046399">
        <w:t xml:space="preserve">and Supply of Water PPE </w:t>
      </w:r>
      <w:r w:rsidRPr="009148CC">
        <w:t xml:space="preserve">– Managed by GMFRS on behalf of northwest regional </w:t>
      </w:r>
      <w:r w:rsidR="008A2A1F">
        <w:t>FRAs</w:t>
      </w:r>
      <w:r w:rsidR="00FD5238">
        <w:t>.</w:t>
      </w:r>
    </w:p>
    <w:p w14:paraId="01836FC1" w14:textId="4B247CE4" w:rsidR="63489383" w:rsidRPr="009148CC" w:rsidRDefault="63489383" w:rsidP="00BC6089">
      <w:pPr>
        <w:pStyle w:val="ListParagraph"/>
        <w:numPr>
          <w:ilvl w:val="0"/>
          <w:numId w:val="39"/>
        </w:numPr>
      </w:pPr>
      <w:r w:rsidRPr="009148CC">
        <w:t>Maintenance Services for Station End Mobilisation Equipment – Led by GMFRS and including Cheshire, Cumbria and Lancashire F</w:t>
      </w:r>
      <w:r w:rsidR="00FD5238">
        <w:t>RSs.</w:t>
      </w:r>
    </w:p>
    <w:p w14:paraId="562457B9" w14:textId="5C876C19" w:rsidR="63489383" w:rsidRPr="009148CC" w:rsidRDefault="63489383" w:rsidP="00BC6089">
      <w:pPr>
        <w:pStyle w:val="ListParagraph"/>
        <w:numPr>
          <w:ilvl w:val="0"/>
          <w:numId w:val="39"/>
        </w:numPr>
      </w:pPr>
      <w:r w:rsidRPr="009148CC">
        <w:t xml:space="preserve">E-tendering system – Collaboration with other </w:t>
      </w:r>
      <w:r w:rsidR="41FADF26" w:rsidRPr="009148CC">
        <w:t>northwest</w:t>
      </w:r>
      <w:r w:rsidRPr="009148CC">
        <w:t xml:space="preserve"> public sector bodies</w:t>
      </w:r>
      <w:r w:rsidR="00711A7D">
        <w:t>.</w:t>
      </w:r>
    </w:p>
    <w:p w14:paraId="072538F0" w14:textId="186103F1" w:rsidR="63489383" w:rsidRPr="009148CC" w:rsidRDefault="63489383" w:rsidP="00BC6089">
      <w:pPr>
        <w:pStyle w:val="ListParagraph"/>
        <w:numPr>
          <w:ilvl w:val="0"/>
          <w:numId w:val="39"/>
        </w:numPr>
      </w:pPr>
      <w:r w:rsidRPr="009148CC">
        <w:t xml:space="preserve">Security Services </w:t>
      </w:r>
      <w:r w:rsidR="00046399">
        <w:t>and Waste Recycling</w:t>
      </w:r>
      <w:r w:rsidRPr="009148CC">
        <w:t xml:space="preserve">– </w:t>
      </w:r>
      <w:r w:rsidR="00046399">
        <w:t>GMFRS c</w:t>
      </w:r>
      <w:r w:rsidRPr="009148CC">
        <w:t>ollaboration with GMP</w:t>
      </w:r>
      <w:r w:rsidR="00711A7D">
        <w:t>.</w:t>
      </w:r>
    </w:p>
    <w:p w14:paraId="66466883" w14:textId="6F3B634E" w:rsidR="63489383" w:rsidRPr="009148CC" w:rsidRDefault="63489383" w:rsidP="00BC6089">
      <w:pPr>
        <w:pStyle w:val="ListParagraph"/>
        <w:numPr>
          <w:ilvl w:val="0"/>
          <w:numId w:val="39"/>
        </w:numPr>
      </w:pPr>
      <w:r w:rsidRPr="009148CC">
        <w:t xml:space="preserve">Clinical Governance &amp; Trauma / First Aid training – Collaboration with other </w:t>
      </w:r>
      <w:r w:rsidR="00F25F26">
        <w:t>N</w:t>
      </w:r>
      <w:r w:rsidR="39370DED" w:rsidRPr="009148CC">
        <w:t>orthwest</w:t>
      </w:r>
      <w:r w:rsidRPr="009148CC">
        <w:t xml:space="preserve"> regional fire authorities, led by Lancashire FRS.</w:t>
      </w:r>
    </w:p>
    <w:p w14:paraId="2586E128" w14:textId="4B2EBEB3" w:rsidR="63489383" w:rsidRPr="009148CC" w:rsidRDefault="63489383" w:rsidP="00BC6089">
      <w:pPr>
        <w:pStyle w:val="ListParagraph"/>
        <w:numPr>
          <w:ilvl w:val="0"/>
          <w:numId w:val="39"/>
        </w:numPr>
      </w:pPr>
      <w:r w:rsidRPr="009148CC">
        <w:t>Type B Appliances - NFCC Emergency Response Vehicles framework</w:t>
      </w:r>
    </w:p>
    <w:p w14:paraId="2A46797D" w14:textId="5DC655C8" w:rsidR="63489383" w:rsidRPr="009148CC" w:rsidRDefault="63489383" w:rsidP="00BC6089">
      <w:pPr>
        <w:pStyle w:val="ListParagraph"/>
        <w:numPr>
          <w:ilvl w:val="0"/>
          <w:numId w:val="39"/>
        </w:numPr>
      </w:pPr>
      <w:r w:rsidRPr="009148CC">
        <w:t>Liquid Fuels – Collaboration with Greater Manchester local authorities utilising Yorkshire Purchasing Organisation framework.</w:t>
      </w:r>
    </w:p>
    <w:p w14:paraId="02187684" w14:textId="15B01A4D" w:rsidR="002042B2" w:rsidRDefault="63489383" w:rsidP="00BC6089">
      <w:pPr>
        <w:pStyle w:val="ListParagraph"/>
        <w:numPr>
          <w:ilvl w:val="0"/>
          <w:numId w:val="39"/>
        </w:numPr>
      </w:pPr>
      <w:r w:rsidRPr="009148CC">
        <w:t>Cleaning and Janitorial Products</w:t>
      </w:r>
      <w:r w:rsidR="002042B2">
        <w:t xml:space="preserve"> and Groceries and Frozen Food </w:t>
      </w:r>
      <w:r w:rsidRPr="009148CC">
        <w:t>– Collaboration with Greater Manchester local authorities</w:t>
      </w:r>
      <w:r w:rsidR="002042B2">
        <w:t>.</w:t>
      </w:r>
    </w:p>
    <w:p w14:paraId="000B848C" w14:textId="64B3E15A" w:rsidR="00DA4ACC" w:rsidRDefault="00DA4ACC" w:rsidP="00BC6089">
      <w:pPr>
        <w:pStyle w:val="ListParagraph"/>
      </w:pPr>
      <w:r>
        <w:t>We have installed n</w:t>
      </w:r>
      <w:r w:rsidRPr="005C417D">
        <w:t>ew high specification M</w:t>
      </w:r>
      <w:r>
        <w:t xml:space="preserve">obile </w:t>
      </w:r>
      <w:r w:rsidRPr="005C417D">
        <w:t>D</w:t>
      </w:r>
      <w:r w:rsidR="00F95FBE">
        <w:t>ata</w:t>
      </w:r>
      <w:r>
        <w:t xml:space="preserve"> </w:t>
      </w:r>
      <w:r w:rsidRPr="005C417D">
        <w:t>T</w:t>
      </w:r>
      <w:r>
        <w:t>erminal</w:t>
      </w:r>
      <w:r w:rsidRPr="005C417D">
        <w:t>s in all our fire appliances, giving firefighters enhanced remote access to critical information.  The new terminals give firefighters direct access to up-to-date risk information at an incident. They have a faster, clearer, and more responsive touch screen interface; more reliable hardware; newer satellite navigation software; and access to a range of apps providing vehicle schematics at road traffic collisions, and hazardous material information at chemical spills.  Other key features include incident command software to help the recording of key information and the ability to man</w:t>
      </w:r>
      <w:r>
        <w:t>a</w:t>
      </w:r>
      <w:r w:rsidRPr="005C417D">
        <w:t>ge large scale incidents affectively, this has made the devices a key tool for operational crews.</w:t>
      </w:r>
    </w:p>
    <w:p w14:paraId="54E8996B" w14:textId="477D9693" w:rsidR="00DA4ACC" w:rsidRPr="00312841" w:rsidRDefault="00DA4ACC" w:rsidP="00BC6089">
      <w:pPr>
        <w:pStyle w:val="ListParagraph"/>
      </w:pPr>
      <w:r w:rsidRPr="005C417D">
        <w:t xml:space="preserve">Microsoft Teams </w:t>
      </w:r>
      <w:r w:rsidR="00760C35">
        <w:t>was r</w:t>
      </w:r>
      <w:r w:rsidRPr="005C417D">
        <w:t xml:space="preserve">olled out at the start of the pandemic, </w:t>
      </w:r>
      <w:r w:rsidR="00695A93">
        <w:t xml:space="preserve">and </w:t>
      </w:r>
      <w:r w:rsidRPr="005C417D">
        <w:t>the continued investment in this area has assist in long term benefits, supporting hybrid working arrangements that in</w:t>
      </w:r>
      <w:r w:rsidR="008A2A1F">
        <w:t>crease</w:t>
      </w:r>
      <w:r w:rsidRPr="005C417D">
        <w:t xml:space="preserve"> flexibility</w:t>
      </w:r>
      <w:r w:rsidR="00B27E0A">
        <w:t xml:space="preserve">, reduce </w:t>
      </w:r>
      <w:r w:rsidRPr="005C417D">
        <w:t xml:space="preserve">expense claims </w:t>
      </w:r>
      <w:r w:rsidR="00B27E0A">
        <w:t xml:space="preserve">and reduce vehicle emissions </w:t>
      </w:r>
      <w:r w:rsidRPr="005C417D">
        <w:t>– enabling the Service to realise benefits in both productivity and efficiency</w:t>
      </w:r>
      <w:r w:rsidR="00B27E0A">
        <w:t xml:space="preserve"> and air quality</w:t>
      </w:r>
      <w:r w:rsidRPr="005C417D">
        <w:t>.</w:t>
      </w:r>
      <w:r>
        <w:t xml:space="preserve"> </w:t>
      </w:r>
    </w:p>
    <w:p w14:paraId="0BFF779E" w14:textId="66C4C7D5" w:rsidR="00DA4ACC" w:rsidRPr="00BD44EB" w:rsidRDefault="00DA4ACC" w:rsidP="00BC6089">
      <w:pPr>
        <w:pStyle w:val="ListParagraph"/>
      </w:pPr>
      <w:r w:rsidRPr="002D6B3D">
        <w:t xml:space="preserve">Introduced </w:t>
      </w:r>
      <w:proofErr w:type="spellStart"/>
      <w:r w:rsidRPr="002D6B3D">
        <w:t>GovWifi</w:t>
      </w:r>
      <w:proofErr w:type="spellEnd"/>
      <w:r w:rsidRPr="002D6B3D">
        <w:t>, developed and managed by Government Digital Service (GDS)</w:t>
      </w:r>
      <w:r w:rsidR="00B27E0A">
        <w:t>.  I</w:t>
      </w:r>
      <w:r w:rsidRPr="002D6B3D">
        <w:t>t is</w:t>
      </w:r>
      <w:r w:rsidRPr="005C417D">
        <w:t xml:space="preserve"> a single Wi-Fi login which can be simply and cheaply installed by government departments over their existing infrastructure. Anyone who registers with </w:t>
      </w:r>
      <w:proofErr w:type="spellStart"/>
      <w:r w:rsidRPr="005C417D">
        <w:t>GovWifi</w:t>
      </w:r>
      <w:proofErr w:type="spellEnd"/>
      <w:r w:rsidRPr="005C417D">
        <w:t xml:space="preserve"> will have access to Wi-Fi at any participating public sector location.  This is available to civil servants, consultants, and visitors to government departments, and </w:t>
      </w:r>
      <w:r w:rsidR="49AC80E2">
        <w:t>replace</w:t>
      </w:r>
      <w:r w:rsidR="1D0EEE15">
        <w:t>s</w:t>
      </w:r>
      <w:r w:rsidRPr="005C417D">
        <w:t xml:space="preserve"> user and guest Wi-Fi with a single secure Wi-Fi connection</w:t>
      </w:r>
      <w:r w:rsidR="74169D74">
        <w:t>, support</w:t>
      </w:r>
      <w:r w:rsidR="753F907D">
        <w:t>ing</w:t>
      </w:r>
      <w:r w:rsidR="74169D74">
        <w:t xml:space="preserve"> our hybrid working arrangements </w:t>
      </w:r>
      <w:r w:rsidR="12CBD083">
        <w:t>and reducing travel</w:t>
      </w:r>
      <w:r w:rsidRPr="005C417D">
        <w:t>.</w:t>
      </w:r>
    </w:p>
    <w:p w14:paraId="1030432A" w14:textId="4F346582" w:rsidR="63967D54" w:rsidRDefault="63967D54" w:rsidP="00BC6089">
      <w:pPr>
        <w:pStyle w:val="ListParagraph"/>
      </w:pPr>
      <w:r w:rsidRPr="6238DB37">
        <w:t>Our most recent Email Hygiene rating report (07/03/23) shows that we’ve maintained our ‘Epic’ rating of 100/100 – first placed FRS, joint first placed authority in Greater Manchester with two others (Oldham and Salford).</w:t>
      </w:r>
    </w:p>
    <w:p w14:paraId="58D28D6B" w14:textId="4A9C4A22" w:rsidR="00DA4ACC" w:rsidRPr="00610EEB" w:rsidRDefault="00DA4ACC" w:rsidP="00BC6089">
      <w:pPr>
        <w:pStyle w:val="ListParagraph"/>
      </w:pPr>
      <w:r w:rsidRPr="00610EEB">
        <w:t xml:space="preserve">Equality Impact Assessments and People Impact Assessments are undertaken as part of Service reviews. </w:t>
      </w:r>
      <w:r w:rsidR="003D71CA">
        <w:t>Through s</w:t>
      </w:r>
      <w:r w:rsidRPr="00610EEB">
        <w:t xml:space="preserve">pecific engagement and consultation arising from </w:t>
      </w:r>
      <w:r w:rsidR="003D71CA">
        <w:t>Service</w:t>
      </w:r>
      <w:r w:rsidRPr="00610EEB">
        <w:t xml:space="preserve"> Reviews</w:t>
      </w:r>
      <w:r w:rsidR="003D71CA">
        <w:t xml:space="preserve">, we </w:t>
      </w:r>
      <w:r w:rsidRPr="00610EEB">
        <w:t xml:space="preserve">ensure </w:t>
      </w:r>
      <w:r w:rsidR="003D71CA">
        <w:t xml:space="preserve">there is </w:t>
      </w:r>
      <w:r w:rsidRPr="00610EEB">
        <w:t>no disproportionate impact on operational performance and service to the public.</w:t>
      </w:r>
    </w:p>
    <w:p w14:paraId="3A5908F7" w14:textId="7137A51D" w:rsidR="00F951B7" w:rsidRPr="004C4036" w:rsidRDefault="00F951B7" w:rsidP="004C4036">
      <w:pPr>
        <w:pStyle w:val="Heading2"/>
      </w:pPr>
      <w:bookmarkStart w:id="16" w:name="_Toc130991396"/>
      <w:r>
        <w:t>Our Plan for the Future</w:t>
      </w:r>
      <w:bookmarkEnd w:id="16"/>
    </w:p>
    <w:p w14:paraId="5D6A432D" w14:textId="59E34D79" w:rsidR="00463EE9" w:rsidRPr="00D12909" w:rsidRDefault="007C03CD" w:rsidP="007C03CD">
      <w:pPr>
        <w:pStyle w:val="Heading4"/>
        <w:rPr>
          <w:b w:val="0"/>
          <w:sz w:val="24"/>
          <w:szCs w:val="24"/>
        </w:rPr>
      </w:pPr>
      <w:r w:rsidRPr="00D12909">
        <w:rPr>
          <w:b w:val="0"/>
          <w:sz w:val="24"/>
          <w:szCs w:val="24"/>
        </w:rPr>
        <w:lastRenderedPageBreak/>
        <w:t xml:space="preserve">With increasing </w:t>
      </w:r>
      <w:r w:rsidR="003D71CA">
        <w:rPr>
          <w:b w:val="0"/>
          <w:sz w:val="24"/>
          <w:szCs w:val="24"/>
        </w:rPr>
        <w:t xml:space="preserve">financial </w:t>
      </w:r>
      <w:r w:rsidRPr="00D12909">
        <w:rPr>
          <w:b w:val="0"/>
          <w:sz w:val="24"/>
          <w:szCs w:val="24"/>
        </w:rPr>
        <w:t xml:space="preserve">pressures, this plan aims to identify areas where we can make efficient use of our resources while maintaining the highest standard of service delivery. Through effective budgeting, resource allocation, and proactive measures to identify cost-saving opportunities, we aim to improve our financial efficiency without compromising on </w:t>
      </w:r>
      <w:r w:rsidR="00647816" w:rsidRPr="00D12909">
        <w:rPr>
          <w:b w:val="0"/>
          <w:sz w:val="24"/>
          <w:szCs w:val="24"/>
        </w:rPr>
        <w:t xml:space="preserve">delivering our </w:t>
      </w:r>
      <w:r w:rsidR="00341444" w:rsidRPr="00D12909">
        <w:rPr>
          <w:b w:val="0"/>
          <w:sz w:val="24"/>
          <w:szCs w:val="24"/>
        </w:rPr>
        <w:t xml:space="preserve">vision and </w:t>
      </w:r>
      <w:r w:rsidRPr="00D12909">
        <w:rPr>
          <w:b w:val="0"/>
          <w:sz w:val="24"/>
          <w:szCs w:val="24"/>
        </w:rPr>
        <w:t xml:space="preserve">mission. </w:t>
      </w:r>
    </w:p>
    <w:p w14:paraId="7563DB8D" w14:textId="2B7563F0" w:rsidR="00FE7062" w:rsidRPr="00D12909" w:rsidRDefault="007C03CD" w:rsidP="007C03CD">
      <w:pPr>
        <w:pStyle w:val="Heading4"/>
        <w:rPr>
          <w:b w:val="0"/>
          <w:sz w:val="24"/>
          <w:szCs w:val="24"/>
        </w:rPr>
      </w:pPr>
      <w:r w:rsidRPr="00D12909">
        <w:rPr>
          <w:b w:val="0"/>
          <w:sz w:val="24"/>
          <w:szCs w:val="24"/>
        </w:rPr>
        <w:t xml:space="preserve">This plan represents our commitment to sustainable financial management, ensuring that we are well-equipped to meet the needs of our community and maintain our role as a trusted and efficient </w:t>
      </w:r>
      <w:r w:rsidR="003A0F12">
        <w:rPr>
          <w:b w:val="0"/>
          <w:sz w:val="24"/>
          <w:szCs w:val="24"/>
        </w:rPr>
        <w:t>FRS</w:t>
      </w:r>
      <w:r w:rsidRPr="00D12909">
        <w:rPr>
          <w:b w:val="0"/>
          <w:sz w:val="24"/>
          <w:szCs w:val="24"/>
        </w:rPr>
        <w:t>.</w:t>
      </w:r>
    </w:p>
    <w:p w14:paraId="1A3BD286" w14:textId="4D1FE8D1" w:rsidR="00732660" w:rsidRPr="00311413" w:rsidRDefault="00732660" w:rsidP="006D6A95">
      <w:pPr>
        <w:pStyle w:val="Heading3"/>
      </w:pPr>
      <w:r w:rsidRPr="00311413">
        <w:t>Budget</w:t>
      </w:r>
    </w:p>
    <w:p w14:paraId="694F3657" w14:textId="238085EB" w:rsidR="00871C4B" w:rsidRPr="004D3BAD" w:rsidRDefault="00871C4B" w:rsidP="00BA0B8C">
      <w:pPr>
        <w:spacing w:after="40"/>
        <w:contextualSpacing/>
        <w:jc w:val="both"/>
        <w:rPr>
          <w:rFonts w:cs="Arial"/>
        </w:rPr>
      </w:pPr>
      <w:r w:rsidRPr="004D3BAD">
        <w:rPr>
          <w:rFonts w:cs="Arial"/>
        </w:rPr>
        <w:t>The Medium-Term Financial Plan (MTFP) to 2025/26 has been updated</w:t>
      </w:r>
      <w:r w:rsidR="003A0F12">
        <w:rPr>
          <w:rFonts w:cs="Arial"/>
        </w:rPr>
        <w:t xml:space="preserve"> to reflect </w:t>
      </w:r>
      <w:r w:rsidRPr="004D3BAD">
        <w:rPr>
          <w:rFonts w:cs="Arial"/>
        </w:rPr>
        <w:t>pay and price inflation, known cost pressures and agreed savings.  The Chancellor announced the Spending Review in December 2022 which presented a one-year settlement as part of the three-year government Spending Review.  In relation to F</w:t>
      </w:r>
      <w:r w:rsidR="003A0F12">
        <w:rPr>
          <w:rFonts w:cs="Arial"/>
        </w:rPr>
        <w:t>RSs</w:t>
      </w:r>
      <w:r w:rsidRPr="004D3BAD">
        <w:rPr>
          <w:rFonts w:cs="Arial"/>
        </w:rPr>
        <w:t xml:space="preserve">, the announcements covered the following: </w:t>
      </w:r>
    </w:p>
    <w:p w14:paraId="43D00FD7" w14:textId="51C1C21A" w:rsidR="00871C4B" w:rsidRPr="000352DA" w:rsidRDefault="00871C4B" w:rsidP="00BC6089">
      <w:pPr>
        <w:pStyle w:val="ListParagraph"/>
        <w:numPr>
          <w:ilvl w:val="0"/>
          <w:numId w:val="5"/>
        </w:numPr>
      </w:pPr>
      <w:r w:rsidRPr="000352DA">
        <w:t>F</w:t>
      </w:r>
      <w:r w:rsidR="003A0F12">
        <w:t>RSs</w:t>
      </w:r>
      <w:r w:rsidRPr="000352DA">
        <w:t xml:space="preserve"> receiving a 7.4% increase in core spending </w:t>
      </w:r>
      <w:proofErr w:type="gramStart"/>
      <w:r w:rsidRPr="000352DA">
        <w:t>power</w:t>
      </w:r>
      <w:proofErr w:type="gramEnd"/>
    </w:p>
    <w:p w14:paraId="1FFC7536" w14:textId="01280EDD" w:rsidR="00871C4B" w:rsidRDefault="00871C4B" w:rsidP="00BC6089">
      <w:pPr>
        <w:pStyle w:val="ListParagraph"/>
        <w:numPr>
          <w:ilvl w:val="0"/>
          <w:numId w:val="5"/>
        </w:numPr>
      </w:pPr>
      <w:r w:rsidRPr="000352DA">
        <w:t>Flexibility on council tax precept for stand-alone F</w:t>
      </w:r>
      <w:r w:rsidR="003A0F12">
        <w:t>RSs</w:t>
      </w:r>
      <w:r w:rsidRPr="000352DA">
        <w:t xml:space="preserve"> of £5 for a one-year perio</w:t>
      </w:r>
      <w:r>
        <w:t>d.</w:t>
      </w:r>
    </w:p>
    <w:p w14:paraId="332964BF" w14:textId="7E69AAB1" w:rsidR="00871C4B" w:rsidRPr="004D3BAD" w:rsidRDefault="00871C4B" w:rsidP="00AA152E">
      <w:pPr>
        <w:contextualSpacing/>
        <w:jc w:val="both"/>
        <w:rPr>
          <w:rFonts w:cs="Arial"/>
        </w:rPr>
      </w:pPr>
      <w:r w:rsidRPr="004D3BAD">
        <w:rPr>
          <w:rFonts w:cs="Arial"/>
        </w:rPr>
        <w:t>The table below presents the budget requirements incorporating pressures and savings from 2022/23 onwards:</w:t>
      </w:r>
    </w:p>
    <w:tbl>
      <w:tblPr>
        <w:tblStyle w:val="TableGrid"/>
        <w:tblW w:w="9209" w:type="dxa"/>
        <w:tblLook w:val="04A0" w:firstRow="1" w:lastRow="0" w:firstColumn="1" w:lastColumn="0" w:noHBand="0" w:noVBand="1"/>
      </w:tblPr>
      <w:tblGrid>
        <w:gridCol w:w="3256"/>
        <w:gridCol w:w="1134"/>
        <w:gridCol w:w="1265"/>
        <w:gridCol w:w="1276"/>
        <w:gridCol w:w="1139"/>
        <w:gridCol w:w="1139"/>
      </w:tblGrid>
      <w:tr w:rsidR="004B3CB8" w:rsidRPr="008B78C1" w14:paraId="2288DD5D" w14:textId="77777777" w:rsidTr="00610594">
        <w:trPr>
          <w:trHeight w:val="580"/>
        </w:trPr>
        <w:tc>
          <w:tcPr>
            <w:tcW w:w="3256" w:type="dxa"/>
            <w:hideMark/>
          </w:tcPr>
          <w:p w14:paraId="53ACFCC4" w14:textId="77777777" w:rsidR="001D7B5D" w:rsidRPr="000352DA" w:rsidRDefault="001D7B5D" w:rsidP="00341444">
            <w:pPr>
              <w:rPr>
                <w:rFonts w:eastAsia="Times New Roman" w:cs="Arial"/>
                <w:b/>
                <w:bCs/>
                <w:color w:val="000000"/>
                <w:sz w:val="20"/>
                <w:szCs w:val="20"/>
                <w:u w:val="single"/>
                <w:lang w:eastAsia="en-GB"/>
              </w:rPr>
            </w:pPr>
            <w:r w:rsidRPr="000352DA">
              <w:rPr>
                <w:rFonts w:eastAsia="Times New Roman" w:cs="Arial"/>
                <w:b/>
                <w:bCs/>
                <w:color w:val="000000"/>
                <w:sz w:val="20"/>
                <w:szCs w:val="20"/>
                <w:u w:val="single"/>
                <w:lang w:eastAsia="en-GB"/>
              </w:rPr>
              <w:t>Medium Term Financial Plan</w:t>
            </w:r>
          </w:p>
        </w:tc>
        <w:tc>
          <w:tcPr>
            <w:tcW w:w="1134" w:type="dxa"/>
            <w:hideMark/>
          </w:tcPr>
          <w:p w14:paraId="2E69BA8E"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Original 2022/23</w:t>
            </w:r>
          </w:p>
        </w:tc>
        <w:tc>
          <w:tcPr>
            <w:tcW w:w="1265" w:type="dxa"/>
            <w:hideMark/>
          </w:tcPr>
          <w:p w14:paraId="29269AC6"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Revised 2022/23</w:t>
            </w:r>
          </w:p>
        </w:tc>
        <w:tc>
          <w:tcPr>
            <w:tcW w:w="1276" w:type="dxa"/>
            <w:noWrap/>
            <w:hideMark/>
          </w:tcPr>
          <w:p w14:paraId="490C78D1" w14:textId="77777777" w:rsidR="001D7B5D" w:rsidRPr="000352DA" w:rsidRDefault="001D7B5D" w:rsidP="00341444">
            <w:pPr>
              <w:jc w:val="center"/>
              <w:rPr>
                <w:rFonts w:eastAsia="Times New Roman" w:cs="Arial"/>
                <w:b/>
                <w:bCs/>
                <w:color w:val="000000"/>
                <w:sz w:val="20"/>
                <w:szCs w:val="20"/>
                <w:lang w:eastAsia="en-GB"/>
              </w:rPr>
            </w:pPr>
            <w:r w:rsidRPr="000352DA">
              <w:rPr>
                <w:rFonts w:eastAsia="Times New Roman" w:cs="Arial"/>
                <w:b/>
                <w:bCs/>
                <w:color w:val="000000"/>
                <w:sz w:val="20"/>
                <w:szCs w:val="20"/>
                <w:lang w:eastAsia="en-GB"/>
              </w:rPr>
              <w:t>Proposed Budget 2023/24</w:t>
            </w:r>
          </w:p>
        </w:tc>
        <w:tc>
          <w:tcPr>
            <w:tcW w:w="1139" w:type="dxa"/>
            <w:noWrap/>
            <w:hideMark/>
          </w:tcPr>
          <w:p w14:paraId="7E83D06D" w14:textId="77777777" w:rsidR="001D7B5D" w:rsidRPr="000352DA" w:rsidRDefault="001D7B5D" w:rsidP="00341444">
            <w:pPr>
              <w:jc w:val="center"/>
              <w:rPr>
                <w:rFonts w:eastAsia="Times New Roman" w:cs="Arial"/>
                <w:b/>
                <w:bCs/>
                <w:color w:val="000000"/>
                <w:sz w:val="20"/>
                <w:szCs w:val="20"/>
                <w:lang w:eastAsia="en-GB"/>
              </w:rPr>
            </w:pPr>
            <w:r w:rsidRPr="000352DA">
              <w:rPr>
                <w:rFonts w:eastAsia="Times New Roman" w:cs="Arial"/>
                <w:b/>
                <w:bCs/>
                <w:color w:val="000000"/>
                <w:sz w:val="20"/>
                <w:szCs w:val="20"/>
                <w:lang w:eastAsia="en-GB"/>
              </w:rPr>
              <w:t>Indicative Budget 2024/25</w:t>
            </w:r>
          </w:p>
        </w:tc>
        <w:tc>
          <w:tcPr>
            <w:tcW w:w="1139" w:type="dxa"/>
            <w:noWrap/>
            <w:hideMark/>
          </w:tcPr>
          <w:p w14:paraId="21DFD205" w14:textId="4391C11E" w:rsidR="001D7B5D" w:rsidRPr="000352DA" w:rsidRDefault="001D7B5D" w:rsidP="00341444">
            <w:pPr>
              <w:jc w:val="center"/>
              <w:rPr>
                <w:rFonts w:eastAsia="Times New Roman" w:cs="Arial"/>
                <w:b/>
                <w:bCs/>
                <w:color w:val="000000"/>
                <w:sz w:val="20"/>
                <w:szCs w:val="20"/>
                <w:lang w:eastAsia="en-GB"/>
              </w:rPr>
            </w:pPr>
            <w:r w:rsidRPr="000352DA">
              <w:rPr>
                <w:rFonts w:eastAsia="Times New Roman" w:cs="Arial"/>
                <w:b/>
                <w:bCs/>
                <w:color w:val="000000"/>
                <w:sz w:val="20"/>
                <w:szCs w:val="20"/>
                <w:lang w:eastAsia="en-GB"/>
              </w:rPr>
              <w:t>Indicative Budget 2025/26</w:t>
            </w:r>
            <w:commentRangeStart w:id="17"/>
            <w:commentRangeEnd w:id="17"/>
            <w:r w:rsidR="00CB6777">
              <w:commentReference w:id="17"/>
            </w:r>
          </w:p>
        </w:tc>
      </w:tr>
      <w:tr w:rsidR="004B3CB8" w:rsidRPr="008B78C1" w14:paraId="12341C4C" w14:textId="77777777" w:rsidTr="00610594">
        <w:trPr>
          <w:trHeight w:val="290"/>
        </w:trPr>
        <w:tc>
          <w:tcPr>
            <w:tcW w:w="3256" w:type="dxa"/>
            <w:hideMark/>
          </w:tcPr>
          <w:p w14:paraId="77A10090" w14:textId="3F5EABA8" w:rsidR="001D7B5D" w:rsidRPr="000352DA" w:rsidRDefault="001D7B5D" w:rsidP="00341444">
            <w:pPr>
              <w:rPr>
                <w:rFonts w:eastAsia="Times New Roman" w:cs="Arial"/>
                <w:color w:val="000000"/>
                <w:sz w:val="20"/>
                <w:szCs w:val="20"/>
                <w:lang w:eastAsia="en-GB"/>
              </w:rPr>
            </w:pPr>
          </w:p>
        </w:tc>
        <w:tc>
          <w:tcPr>
            <w:tcW w:w="1134" w:type="dxa"/>
            <w:noWrap/>
            <w:hideMark/>
          </w:tcPr>
          <w:p w14:paraId="769F94F6"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£000</w:t>
            </w:r>
          </w:p>
        </w:tc>
        <w:tc>
          <w:tcPr>
            <w:tcW w:w="1265" w:type="dxa"/>
            <w:noWrap/>
            <w:hideMark/>
          </w:tcPr>
          <w:p w14:paraId="63229CEC"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£000</w:t>
            </w:r>
          </w:p>
        </w:tc>
        <w:tc>
          <w:tcPr>
            <w:tcW w:w="1276" w:type="dxa"/>
            <w:noWrap/>
            <w:hideMark/>
          </w:tcPr>
          <w:p w14:paraId="41EAF7CE"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£000</w:t>
            </w:r>
          </w:p>
        </w:tc>
        <w:tc>
          <w:tcPr>
            <w:tcW w:w="1139" w:type="dxa"/>
            <w:noWrap/>
            <w:hideMark/>
          </w:tcPr>
          <w:p w14:paraId="6E316D27"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£000</w:t>
            </w:r>
          </w:p>
        </w:tc>
        <w:tc>
          <w:tcPr>
            <w:tcW w:w="1139" w:type="dxa"/>
            <w:noWrap/>
            <w:hideMark/>
          </w:tcPr>
          <w:p w14:paraId="793570C5"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£000</w:t>
            </w:r>
          </w:p>
        </w:tc>
      </w:tr>
      <w:tr w:rsidR="004B3CB8" w:rsidRPr="008B78C1" w14:paraId="3BD5269B" w14:textId="77777777" w:rsidTr="00610594">
        <w:trPr>
          <w:trHeight w:val="290"/>
        </w:trPr>
        <w:tc>
          <w:tcPr>
            <w:tcW w:w="3256" w:type="dxa"/>
            <w:hideMark/>
          </w:tcPr>
          <w:p w14:paraId="742E4448"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Fire Service</w:t>
            </w:r>
          </w:p>
        </w:tc>
        <w:tc>
          <w:tcPr>
            <w:tcW w:w="1134" w:type="dxa"/>
            <w:noWrap/>
            <w:hideMark/>
          </w:tcPr>
          <w:p w14:paraId="2DFE729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107,956</w:t>
            </w:r>
          </w:p>
        </w:tc>
        <w:tc>
          <w:tcPr>
            <w:tcW w:w="1265" w:type="dxa"/>
            <w:noWrap/>
            <w:hideMark/>
          </w:tcPr>
          <w:p w14:paraId="157F158D"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107,956</w:t>
            </w:r>
          </w:p>
        </w:tc>
        <w:tc>
          <w:tcPr>
            <w:tcW w:w="1276" w:type="dxa"/>
            <w:noWrap/>
            <w:hideMark/>
          </w:tcPr>
          <w:p w14:paraId="476A7E04"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115,365</w:t>
            </w:r>
          </w:p>
        </w:tc>
        <w:tc>
          <w:tcPr>
            <w:tcW w:w="1139" w:type="dxa"/>
            <w:noWrap/>
            <w:hideMark/>
          </w:tcPr>
          <w:p w14:paraId="5B71375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124,275</w:t>
            </w:r>
          </w:p>
        </w:tc>
        <w:tc>
          <w:tcPr>
            <w:tcW w:w="1139" w:type="dxa"/>
            <w:noWrap/>
            <w:hideMark/>
          </w:tcPr>
          <w:p w14:paraId="2165074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128,220</w:t>
            </w:r>
          </w:p>
        </w:tc>
      </w:tr>
      <w:tr w:rsidR="004B3CB8" w:rsidRPr="008B78C1" w14:paraId="47025450" w14:textId="77777777" w:rsidTr="00610594">
        <w:trPr>
          <w:trHeight w:val="290"/>
        </w:trPr>
        <w:tc>
          <w:tcPr>
            <w:tcW w:w="3256" w:type="dxa"/>
            <w:hideMark/>
          </w:tcPr>
          <w:p w14:paraId="7B36CCCA"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Pay and price inflation</w:t>
            </w:r>
          </w:p>
        </w:tc>
        <w:tc>
          <w:tcPr>
            <w:tcW w:w="1134" w:type="dxa"/>
            <w:noWrap/>
            <w:hideMark/>
          </w:tcPr>
          <w:p w14:paraId="005B625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2,625</w:t>
            </w:r>
          </w:p>
        </w:tc>
        <w:tc>
          <w:tcPr>
            <w:tcW w:w="1265" w:type="dxa"/>
            <w:noWrap/>
            <w:hideMark/>
          </w:tcPr>
          <w:p w14:paraId="4CD847F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5,385</w:t>
            </w:r>
          </w:p>
        </w:tc>
        <w:tc>
          <w:tcPr>
            <w:tcW w:w="1276" w:type="dxa"/>
            <w:noWrap/>
            <w:hideMark/>
          </w:tcPr>
          <w:p w14:paraId="204CEC6E"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5,955</w:t>
            </w:r>
          </w:p>
        </w:tc>
        <w:tc>
          <w:tcPr>
            <w:tcW w:w="1139" w:type="dxa"/>
            <w:noWrap/>
            <w:hideMark/>
          </w:tcPr>
          <w:p w14:paraId="4216EDD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4,080</w:t>
            </w:r>
          </w:p>
        </w:tc>
        <w:tc>
          <w:tcPr>
            <w:tcW w:w="1139" w:type="dxa"/>
            <w:noWrap/>
            <w:hideMark/>
          </w:tcPr>
          <w:p w14:paraId="04AEF53A"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2,031</w:t>
            </w:r>
          </w:p>
        </w:tc>
      </w:tr>
      <w:tr w:rsidR="004B3CB8" w:rsidRPr="008B78C1" w14:paraId="2C635994" w14:textId="77777777" w:rsidTr="00610594">
        <w:trPr>
          <w:trHeight w:val="290"/>
        </w:trPr>
        <w:tc>
          <w:tcPr>
            <w:tcW w:w="3256" w:type="dxa"/>
            <w:hideMark/>
          </w:tcPr>
          <w:p w14:paraId="3F695B47"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Savings</w:t>
            </w:r>
          </w:p>
        </w:tc>
        <w:tc>
          <w:tcPr>
            <w:tcW w:w="1134" w:type="dxa"/>
            <w:noWrap/>
            <w:hideMark/>
          </w:tcPr>
          <w:p w14:paraId="47DF80F1"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-788</w:t>
            </w:r>
          </w:p>
        </w:tc>
        <w:tc>
          <w:tcPr>
            <w:tcW w:w="1265" w:type="dxa"/>
            <w:noWrap/>
            <w:hideMark/>
          </w:tcPr>
          <w:p w14:paraId="646288B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-788</w:t>
            </w:r>
          </w:p>
        </w:tc>
        <w:tc>
          <w:tcPr>
            <w:tcW w:w="1276" w:type="dxa"/>
            <w:noWrap/>
            <w:hideMark/>
          </w:tcPr>
          <w:p w14:paraId="33230B20"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-712</w:t>
            </w:r>
          </w:p>
        </w:tc>
        <w:tc>
          <w:tcPr>
            <w:tcW w:w="1139" w:type="dxa"/>
            <w:noWrap/>
            <w:hideMark/>
          </w:tcPr>
          <w:p w14:paraId="626EAB2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c>
          <w:tcPr>
            <w:tcW w:w="1139" w:type="dxa"/>
            <w:noWrap/>
            <w:hideMark/>
          </w:tcPr>
          <w:p w14:paraId="4AA80F64"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r>
      <w:tr w:rsidR="004B3CB8" w:rsidRPr="008B78C1" w14:paraId="50926118" w14:textId="77777777" w:rsidTr="00610594">
        <w:trPr>
          <w:trHeight w:val="290"/>
        </w:trPr>
        <w:tc>
          <w:tcPr>
            <w:tcW w:w="3256" w:type="dxa"/>
            <w:hideMark/>
          </w:tcPr>
          <w:p w14:paraId="7A704BF8"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Cost pressures and variations</w:t>
            </w:r>
          </w:p>
        </w:tc>
        <w:tc>
          <w:tcPr>
            <w:tcW w:w="1134" w:type="dxa"/>
            <w:noWrap/>
            <w:hideMark/>
          </w:tcPr>
          <w:p w14:paraId="411F54B1"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2,812</w:t>
            </w:r>
          </w:p>
        </w:tc>
        <w:tc>
          <w:tcPr>
            <w:tcW w:w="1265" w:type="dxa"/>
            <w:noWrap/>
            <w:hideMark/>
          </w:tcPr>
          <w:p w14:paraId="6A00DDD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2,812</w:t>
            </w:r>
          </w:p>
        </w:tc>
        <w:tc>
          <w:tcPr>
            <w:tcW w:w="1276" w:type="dxa"/>
            <w:noWrap/>
            <w:hideMark/>
          </w:tcPr>
          <w:p w14:paraId="3E4B959D"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3,667</w:t>
            </w:r>
          </w:p>
        </w:tc>
        <w:tc>
          <w:tcPr>
            <w:tcW w:w="1139" w:type="dxa"/>
            <w:noWrap/>
            <w:hideMark/>
          </w:tcPr>
          <w:p w14:paraId="74B7825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-135</w:t>
            </w:r>
          </w:p>
        </w:tc>
        <w:tc>
          <w:tcPr>
            <w:tcW w:w="1139" w:type="dxa"/>
            <w:noWrap/>
            <w:hideMark/>
          </w:tcPr>
          <w:p w14:paraId="3F0F7F4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-426</w:t>
            </w:r>
          </w:p>
        </w:tc>
      </w:tr>
      <w:tr w:rsidR="004B3CB8" w:rsidRPr="008B78C1" w14:paraId="549C89E7" w14:textId="77777777" w:rsidTr="00610594">
        <w:trPr>
          <w:trHeight w:val="290"/>
        </w:trPr>
        <w:tc>
          <w:tcPr>
            <w:tcW w:w="3256" w:type="dxa"/>
            <w:hideMark/>
          </w:tcPr>
          <w:p w14:paraId="1AA3A632"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Cost of service</w:t>
            </w:r>
          </w:p>
        </w:tc>
        <w:tc>
          <w:tcPr>
            <w:tcW w:w="1134" w:type="dxa"/>
            <w:noWrap/>
            <w:hideMark/>
          </w:tcPr>
          <w:p w14:paraId="132B82CA"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112,605</w:t>
            </w:r>
          </w:p>
        </w:tc>
        <w:tc>
          <w:tcPr>
            <w:tcW w:w="1265" w:type="dxa"/>
            <w:noWrap/>
            <w:hideMark/>
          </w:tcPr>
          <w:p w14:paraId="074542D2"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115,365</w:t>
            </w:r>
          </w:p>
        </w:tc>
        <w:tc>
          <w:tcPr>
            <w:tcW w:w="1276" w:type="dxa"/>
            <w:noWrap/>
            <w:hideMark/>
          </w:tcPr>
          <w:p w14:paraId="0721380D"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124,275</w:t>
            </w:r>
          </w:p>
        </w:tc>
        <w:tc>
          <w:tcPr>
            <w:tcW w:w="1139" w:type="dxa"/>
            <w:noWrap/>
            <w:hideMark/>
          </w:tcPr>
          <w:p w14:paraId="20700252"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128,220</w:t>
            </w:r>
          </w:p>
        </w:tc>
        <w:tc>
          <w:tcPr>
            <w:tcW w:w="1139" w:type="dxa"/>
            <w:noWrap/>
            <w:hideMark/>
          </w:tcPr>
          <w:p w14:paraId="0415D517"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129,825</w:t>
            </w:r>
          </w:p>
        </w:tc>
      </w:tr>
      <w:tr w:rsidR="004B3CB8" w:rsidRPr="008B78C1" w14:paraId="256889AC" w14:textId="77777777" w:rsidTr="00610594">
        <w:trPr>
          <w:trHeight w:val="290"/>
        </w:trPr>
        <w:tc>
          <w:tcPr>
            <w:tcW w:w="3256" w:type="dxa"/>
            <w:hideMark/>
          </w:tcPr>
          <w:p w14:paraId="146345C0"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Capital Financing Charges</w:t>
            </w:r>
          </w:p>
        </w:tc>
        <w:tc>
          <w:tcPr>
            <w:tcW w:w="1134" w:type="dxa"/>
            <w:noWrap/>
            <w:hideMark/>
          </w:tcPr>
          <w:p w14:paraId="3F77A0A1"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1,692</w:t>
            </w:r>
          </w:p>
        </w:tc>
        <w:tc>
          <w:tcPr>
            <w:tcW w:w="1265" w:type="dxa"/>
            <w:noWrap/>
            <w:hideMark/>
          </w:tcPr>
          <w:p w14:paraId="6B5A1E1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1,692</w:t>
            </w:r>
          </w:p>
        </w:tc>
        <w:tc>
          <w:tcPr>
            <w:tcW w:w="1276" w:type="dxa"/>
            <w:noWrap/>
            <w:hideMark/>
          </w:tcPr>
          <w:p w14:paraId="7B4093B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2,082</w:t>
            </w:r>
          </w:p>
        </w:tc>
        <w:tc>
          <w:tcPr>
            <w:tcW w:w="1139" w:type="dxa"/>
            <w:noWrap/>
            <w:hideMark/>
          </w:tcPr>
          <w:p w14:paraId="776FEB5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3,096</w:t>
            </w:r>
          </w:p>
        </w:tc>
        <w:tc>
          <w:tcPr>
            <w:tcW w:w="1139" w:type="dxa"/>
            <w:noWrap/>
            <w:hideMark/>
          </w:tcPr>
          <w:p w14:paraId="1BA5097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3,755</w:t>
            </w:r>
          </w:p>
        </w:tc>
      </w:tr>
      <w:tr w:rsidR="004B3CB8" w:rsidRPr="008B78C1" w14:paraId="5EEA9226" w14:textId="77777777" w:rsidTr="00610594">
        <w:trPr>
          <w:trHeight w:val="290"/>
        </w:trPr>
        <w:tc>
          <w:tcPr>
            <w:tcW w:w="3256" w:type="dxa"/>
            <w:hideMark/>
          </w:tcPr>
          <w:p w14:paraId="36765FDB" w14:textId="316435F9"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Tr</w:t>
            </w:r>
            <w:r w:rsidR="0056305F">
              <w:rPr>
                <w:rFonts w:eastAsia="Times New Roman" w:cs="Arial"/>
                <w:color w:val="000000"/>
                <w:sz w:val="20"/>
                <w:szCs w:val="20"/>
                <w:lang w:eastAsia="en-GB"/>
              </w:rPr>
              <w:t>ans</w:t>
            </w:r>
            <w:r w:rsidRPr="000352DA">
              <w:rPr>
                <w:rFonts w:eastAsia="Times New Roman" w:cs="Arial"/>
                <w:color w:val="000000"/>
                <w:sz w:val="20"/>
                <w:szCs w:val="20"/>
                <w:lang w:eastAsia="en-GB"/>
              </w:rPr>
              <w:t>f</w:t>
            </w:r>
            <w:r w:rsidR="0056305F">
              <w:rPr>
                <w:rFonts w:eastAsia="Times New Roman" w:cs="Arial"/>
                <w:color w:val="000000"/>
                <w:sz w:val="20"/>
                <w:szCs w:val="20"/>
                <w:lang w:eastAsia="en-GB"/>
              </w:rPr>
              <w:t>er</w:t>
            </w:r>
            <w:r w:rsidRPr="000352DA">
              <w:rPr>
                <w:rFonts w:eastAsia="Times New Roman" w:cs="Arial"/>
                <w:color w:val="000000"/>
                <w:sz w:val="20"/>
                <w:szCs w:val="20"/>
                <w:lang w:eastAsia="en-GB"/>
              </w:rPr>
              <w:t xml:space="preserve"> to Earmarked Reserves</w:t>
            </w:r>
          </w:p>
        </w:tc>
        <w:tc>
          <w:tcPr>
            <w:tcW w:w="1134" w:type="dxa"/>
            <w:noWrap/>
            <w:hideMark/>
          </w:tcPr>
          <w:p w14:paraId="76481C43"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5,245</w:t>
            </w:r>
          </w:p>
        </w:tc>
        <w:tc>
          <w:tcPr>
            <w:tcW w:w="1265" w:type="dxa"/>
            <w:noWrap/>
            <w:hideMark/>
          </w:tcPr>
          <w:p w14:paraId="4771300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5,245</w:t>
            </w:r>
          </w:p>
        </w:tc>
        <w:tc>
          <w:tcPr>
            <w:tcW w:w="1276" w:type="dxa"/>
            <w:noWrap/>
            <w:hideMark/>
          </w:tcPr>
          <w:p w14:paraId="5C4C2F6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1,752</w:t>
            </w:r>
          </w:p>
        </w:tc>
        <w:tc>
          <w:tcPr>
            <w:tcW w:w="1139" w:type="dxa"/>
            <w:noWrap/>
            <w:hideMark/>
          </w:tcPr>
          <w:p w14:paraId="71C4028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c>
          <w:tcPr>
            <w:tcW w:w="1139" w:type="dxa"/>
            <w:noWrap/>
            <w:hideMark/>
          </w:tcPr>
          <w:p w14:paraId="07A1A2AE"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r>
      <w:tr w:rsidR="004B3CB8" w:rsidRPr="008B78C1" w14:paraId="30E4A0C3" w14:textId="77777777" w:rsidTr="00610594">
        <w:trPr>
          <w:trHeight w:val="290"/>
        </w:trPr>
        <w:tc>
          <w:tcPr>
            <w:tcW w:w="3256" w:type="dxa"/>
            <w:hideMark/>
          </w:tcPr>
          <w:p w14:paraId="67F5AAB2"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Net Service Budget</w:t>
            </w:r>
          </w:p>
        </w:tc>
        <w:tc>
          <w:tcPr>
            <w:tcW w:w="1134" w:type="dxa"/>
            <w:noWrap/>
            <w:hideMark/>
          </w:tcPr>
          <w:p w14:paraId="56A26846"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119,542</w:t>
            </w:r>
          </w:p>
        </w:tc>
        <w:tc>
          <w:tcPr>
            <w:tcW w:w="1265" w:type="dxa"/>
            <w:noWrap/>
            <w:hideMark/>
          </w:tcPr>
          <w:p w14:paraId="2F8717B4"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122,302</w:t>
            </w:r>
          </w:p>
        </w:tc>
        <w:tc>
          <w:tcPr>
            <w:tcW w:w="1276" w:type="dxa"/>
            <w:noWrap/>
            <w:hideMark/>
          </w:tcPr>
          <w:p w14:paraId="6CA518CC"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128,109</w:t>
            </w:r>
          </w:p>
        </w:tc>
        <w:tc>
          <w:tcPr>
            <w:tcW w:w="1139" w:type="dxa"/>
            <w:noWrap/>
            <w:hideMark/>
          </w:tcPr>
          <w:p w14:paraId="14B54418"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131,316</w:t>
            </w:r>
          </w:p>
        </w:tc>
        <w:tc>
          <w:tcPr>
            <w:tcW w:w="1139" w:type="dxa"/>
            <w:noWrap/>
            <w:hideMark/>
          </w:tcPr>
          <w:p w14:paraId="09021B79"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133,580</w:t>
            </w:r>
          </w:p>
        </w:tc>
      </w:tr>
      <w:tr w:rsidR="004B3CB8" w:rsidRPr="00285F26" w14:paraId="0BF2B227" w14:textId="77777777" w:rsidTr="00610594">
        <w:trPr>
          <w:trHeight w:val="67"/>
        </w:trPr>
        <w:tc>
          <w:tcPr>
            <w:tcW w:w="3256" w:type="dxa"/>
            <w:hideMark/>
          </w:tcPr>
          <w:p w14:paraId="4DF82E55" w14:textId="77777777" w:rsidR="001D7B5D" w:rsidRPr="00285F26" w:rsidRDefault="001D7B5D" w:rsidP="00341444">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c>
          <w:tcPr>
            <w:tcW w:w="1134" w:type="dxa"/>
            <w:noWrap/>
            <w:hideMark/>
          </w:tcPr>
          <w:p w14:paraId="45165662" w14:textId="77777777" w:rsidR="001D7B5D" w:rsidRPr="00285F26" w:rsidRDefault="001D7B5D" w:rsidP="00341444">
            <w:pPr>
              <w:jc w:val="right"/>
              <w:rPr>
                <w:rFonts w:eastAsia="Times New Roman" w:cs="Arial"/>
                <w:color w:val="000000"/>
                <w:sz w:val="4"/>
                <w:szCs w:val="4"/>
                <w:lang w:eastAsia="en-GB"/>
              </w:rPr>
            </w:pPr>
            <w:r w:rsidRPr="00285F26">
              <w:rPr>
                <w:rFonts w:eastAsia="Times New Roman" w:cs="Arial"/>
                <w:color w:val="000000"/>
                <w:sz w:val="4"/>
                <w:szCs w:val="4"/>
                <w:lang w:eastAsia="en-GB"/>
              </w:rPr>
              <w:t> </w:t>
            </w:r>
          </w:p>
        </w:tc>
        <w:tc>
          <w:tcPr>
            <w:tcW w:w="1265" w:type="dxa"/>
            <w:noWrap/>
            <w:hideMark/>
          </w:tcPr>
          <w:p w14:paraId="04FCCFD6" w14:textId="77777777" w:rsidR="001D7B5D" w:rsidRPr="00285F26" w:rsidRDefault="001D7B5D" w:rsidP="00341444">
            <w:pPr>
              <w:jc w:val="right"/>
              <w:rPr>
                <w:rFonts w:eastAsia="Times New Roman" w:cs="Arial"/>
                <w:color w:val="000000"/>
                <w:sz w:val="4"/>
                <w:szCs w:val="4"/>
                <w:lang w:eastAsia="en-GB"/>
              </w:rPr>
            </w:pPr>
            <w:r w:rsidRPr="00285F26">
              <w:rPr>
                <w:rFonts w:eastAsia="Times New Roman" w:cs="Arial"/>
                <w:color w:val="000000"/>
                <w:sz w:val="4"/>
                <w:szCs w:val="4"/>
                <w:lang w:eastAsia="en-GB"/>
              </w:rPr>
              <w:t> </w:t>
            </w:r>
          </w:p>
        </w:tc>
        <w:tc>
          <w:tcPr>
            <w:tcW w:w="1276" w:type="dxa"/>
            <w:noWrap/>
            <w:hideMark/>
          </w:tcPr>
          <w:p w14:paraId="71BDFD3C" w14:textId="77777777" w:rsidR="001D7B5D" w:rsidRPr="00285F26" w:rsidRDefault="001D7B5D" w:rsidP="00341444">
            <w:pPr>
              <w:jc w:val="right"/>
              <w:rPr>
                <w:rFonts w:eastAsia="Times New Roman" w:cs="Arial"/>
                <w:color w:val="000000"/>
                <w:sz w:val="4"/>
                <w:szCs w:val="4"/>
                <w:lang w:eastAsia="en-GB"/>
              </w:rPr>
            </w:pPr>
            <w:r w:rsidRPr="00285F26">
              <w:rPr>
                <w:rFonts w:eastAsia="Times New Roman" w:cs="Arial"/>
                <w:color w:val="000000"/>
                <w:sz w:val="4"/>
                <w:szCs w:val="4"/>
                <w:lang w:eastAsia="en-GB"/>
              </w:rPr>
              <w:t> </w:t>
            </w:r>
          </w:p>
        </w:tc>
        <w:tc>
          <w:tcPr>
            <w:tcW w:w="1139" w:type="dxa"/>
            <w:noWrap/>
            <w:hideMark/>
          </w:tcPr>
          <w:p w14:paraId="20A8E55A" w14:textId="77777777" w:rsidR="001D7B5D" w:rsidRPr="00285F26" w:rsidRDefault="001D7B5D" w:rsidP="00341444">
            <w:pPr>
              <w:jc w:val="right"/>
              <w:rPr>
                <w:rFonts w:eastAsia="Times New Roman" w:cs="Arial"/>
                <w:color w:val="000000"/>
                <w:sz w:val="4"/>
                <w:szCs w:val="4"/>
                <w:lang w:eastAsia="en-GB"/>
              </w:rPr>
            </w:pPr>
            <w:r w:rsidRPr="00285F26">
              <w:rPr>
                <w:rFonts w:eastAsia="Times New Roman" w:cs="Arial"/>
                <w:color w:val="000000"/>
                <w:sz w:val="4"/>
                <w:szCs w:val="4"/>
                <w:lang w:eastAsia="en-GB"/>
              </w:rPr>
              <w:t> </w:t>
            </w:r>
          </w:p>
        </w:tc>
        <w:tc>
          <w:tcPr>
            <w:tcW w:w="1139" w:type="dxa"/>
            <w:noWrap/>
            <w:hideMark/>
          </w:tcPr>
          <w:p w14:paraId="0A737F98" w14:textId="77777777" w:rsidR="001D7B5D" w:rsidRPr="00285F26" w:rsidRDefault="001D7B5D" w:rsidP="00341444">
            <w:pPr>
              <w:jc w:val="right"/>
              <w:rPr>
                <w:rFonts w:eastAsia="Times New Roman" w:cs="Arial"/>
                <w:color w:val="000000"/>
                <w:sz w:val="4"/>
                <w:szCs w:val="4"/>
                <w:lang w:eastAsia="en-GB"/>
              </w:rPr>
            </w:pPr>
            <w:r w:rsidRPr="00285F26">
              <w:rPr>
                <w:rFonts w:eastAsia="Times New Roman" w:cs="Arial"/>
                <w:color w:val="000000"/>
                <w:sz w:val="4"/>
                <w:szCs w:val="4"/>
                <w:lang w:eastAsia="en-GB"/>
              </w:rPr>
              <w:t> </w:t>
            </w:r>
          </w:p>
        </w:tc>
      </w:tr>
      <w:tr w:rsidR="004B3CB8" w:rsidRPr="008B78C1" w14:paraId="0406F58A" w14:textId="77777777" w:rsidTr="00610594">
        <w:trPr>
          <w:trHeight w:val="290"/>
        </w:trPr>
        <w:tc>
          <w:tcPr>
            <w:tcW w:w="3256" w:type="dxa"/>
            <w:hideMark/>
          </w:tcPr>
          <w:p w14:paraId="78A94407"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Funded by:</w:t>
            </w:r>
          </w:p>
        </w:tc>
        <w:tc>
          <w:tcPr>
            <w:tcW w:w="1134" w:type="dxa"/>
            <w:noWrap/>
            <w:hideMark/>
          </w:tcPr>
          <w:p w14:paraId="10A3B3C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265" w:type="dxa"/>
            <w:noWrap/>
            <w:hideMark/>
          </w:tcPr>
          <w:p w14:paraId="7334E794"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276" w:type="dxa"/>
            <w:noWrap/>
            <w:hideMark/>
          </w:tcPr>
          <w:p w14:paraId="4FA5167F"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139" w:type="dxa"/>
            <w:noWrap/>
            <w:hideMark/>
          </w:tcPr>
          <w:p w14:paraId="0B5CD830"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139" w:type="dxa"/>
            <w:noWrap/>
            <w:hideMark/>
          </w:tcPr>
          <w:p w14:paraId="03DE58F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r>
      <w:tr w:rsidR="004B3CB8" w:rsidRPr="008B78C1" w14:paraId="48367B63" w14:textId="77777777" w:rsidTr="00610594">
        <w:trPr>
          <w:trHeight w:val="290"/>
        </w:trPr>
        <w:tc>
          <w:tcPr>
            <w:tcW w:w="3256" w:type="dxa"/>
            <w:hideMark/>
          </w:tcPr>
          <w:p w14:paraId="1A065666"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Localised Business Rates</w:t>
            </w:r>
          </w:p>
        </w:tc>
        <w:tc>
          <w:tcPr>
            <w:tcW w:w="1134" w:type="dxa"/>
            <w:noWrap/>
            <w:hideMark/>
          </w:tcPr>
          <w:p w14:paraId="002D416E"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9,368</w:t>
            </w:r>
          </w:p>
        </w:tc>
        <w:tc>
          <w:tcPr>
            <w:tcW w:w="1265" w:type="dxa"/>
            <w:noWrap/>
            <w:hideMark/>
          </w:tcPr>
          <w:p w14:paraId="6333B92E"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9,521</w:t>
            </w:r>
          </w:p>
        </w:tc>
        <w:tc>
          <w:tcPr>
            <w:tcW w:w="1276" w:type="dxa"/>
            <w:noWrap/>
            <w:hideMark/>
          </w:tcPr>
          <w:p w14:paraId="5253F79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9,521</w:t>
            </w:r>
          </w:p>
        </w:tc>
        <w:tc>
          <w:tcPr>
            <w:tcW w:w="1139" w:type="dxa"/>
            <w:noWrap/>
            <w:hideMark/>
          </w:tcPr>
          <w:p w14:paraId="7A4E814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9,521</w:t>
            </w:r>
          </w:p>
        </w:tc>
        <w:tc>
          <w:tcPr>
            <w:tcW w:w="1139" w:type="dxa"/>
            <w:noWrap/>
            <w:hideMark/>
          </w:tcPr>
          <w:p w14:paraId="30C31CD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9,521</w:t>
            </w:r>
          </w:p>
        </w:tc>
      </w:tr>
      <w:tr w:rsidR="004B3CB8" w:rsidRPr="008B78C1" w14:paraId="3357ACB9" w14:textId="77777777" w:rsidTr="00610594">
        <w:trPr>
          <w:trHeight w:val="290"/>
        </w:trPr>
        <w:tc>
          <w:tcPr>
            <w:tcW w:w="3256" w:type="dxa"/>
            <w:hideMark/>
          </w:tcPr>
          <w:p w14:paraId="6D285489"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Baseline funding</w:t>
            </w:r>
          </w:p>
        </w:tc>
        <w:tc>
          <w:tcPr>
            <w:tcW w:w="1134" w:type="dxa"/>
            <w:noWrap/>
            <w:hideMark/>
          </w:tcPr>
          <w:p w14:paraId="3F40083A"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40,922</w:t>
            </w:r>
          </w:p>
        </w:tc>
        <w:tc>
          <w:tcPr>
            <w:tcW w:w="1265" w:type="dxa"/>
            <w:noWrap/>
            <w:hideMark/>
          </w:tcPr>
          <w:p w14:paraId="168867A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40,922</w:t>
            </w:r>
          </w:p>
        </w:tc>
        <w:tc>
          <w:tcPr>
            <w:tcW w:w="1276" w:type="dxa"/>
            <w:noWrap/>
            <w:hideMark/>
          </w:tcPr>
          <w:p w14:paraId="09FDF9B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43,275</w:t>
            </w:r>
          </w:p>
        </w:tc>
        <w:tc>
          <w:tcPr>
            <w:tcW w:w="1139" w:type="dxa"/>
            <w:noWrap/>
            <w:hideMark/>
          </w:tcPr>
          <w:p w14:paraId="6F61BF3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43,275</w:t>
            </w:r>
          </w:p>
        </w:tc>
        <w:tc>
          <w:tcPr>
            <w:tcW w:w="1139" w:type="dxa"/>
            <w:noWrap/>
            <w:hideMark/>
          </w:tcPr>
          <w:p w14:paraId="13F183BD"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43,275</w:t>
            </w:r>
          </w:p>
        </w:tc>
      </w:tr>
      <w:tr w:rsidR="004B3CB8" w:rsidRPr="008B78C1" w14:paraId="42DA5E48" w14:textId="77777777" w:rsidTr="00610594">
        <w:trPr>
          <w:trHeight w:val="290"/>
        </w:trPr>
        <w:tc>
          <w:tcPr>
            <w:tcW w:w="3256" w:type="dxa"/>
            <w:hideMark/>
          </w:tcPr>
          <w:p w14:paraId="4589FE7D"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SFA - Services Grant</w:t>
            </w:r>
          </w:p>
        </w:tc>
        <w:tc>
          <w:tcPr>
            <w:tcW w:w="1134" w:type="dxa"/>
            <w:noWrap/>
            <w:hideMark/>
          </w:tcPr>
          <w:p w14:paraId="59F4CD9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2,209</w:t>
            </w:r>
          </w:p>
        </w:tc>
        <w:tc>
          <w:tcPr>
            <w:tcW w:w="1265" w:type="dxa"/>
            <w:noWrap/>
            <w:hideMark/>
          </w:tcPr>
          <w:p w14:paraId="1F80CF7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2,209</w:t>
            </w:r>
          </w:p>
        </w:tc>
        <w:tc>
          <w:tcPr>
            <w:tcW w:w="1276" w:type="dxa"/>
            <w:noWrap/>
            <w:hideMark/>
          </w:tcPr>
          <w:p w14:paraId="2BA3AA0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1,244</w:t>
            </w:r>
          </w:p>
        </w:tc>
        <w:tc>
          <w:tcPr>
            <w:tcW w:w="1139" w:type="dxa"/>
            <w:noWrap/>
            <w:hideMark/>
          </w:tcPr>
          <w:p w14:paraId="40BE7EF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1,244</w:t>
            </w:r>
          </w:p>
        </w:tc>
        <w:tc>
          <w:tcPr>
            <w:tcW w:w="1139" w:type="dxa"/>
            <w:noWrap/>
            <w:hideMark/>
          </w:tcPr>
          <w:p w14:paraId="6718F0CA"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r>
      <w:tr w:rsidR="004B3CB8" w:rsidRPr="008B78C1" w14:paraId="611A09A0" w14:textId="77777777" w:rsidTr="00610594">
        <w:trPr>
          <w:trHeight w:val="290"/>
        </w:trPr>
        <w:tc>
          <w:tcPr>
            <w:tcW w:w="3256" w:type="dxa"/>
            <w:hideMark/>
          </w:tcPr>
          <w:p w14:paraId="4E5FD562"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 xml:space="preserve">Section 31 - Business rates </w:t>
            </w:r>
          </w:p>
        </w:tc>
        <w:tc>
          <w:tcPr>
            <w:tcW w:w="1134" w:type="dxa"/>
            <w:noWrap/>
            <w:hideMark/>
          </w:tcPr>
          <w:p w14:paraId="4D89F9A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5,452</w:t>
            </w:r>
          </w:p>
        </w:tc>
        <w:tc>
          <w:tcPr>
            <w:tcW w:w="1265" w:type="dxa"/>
            <w:noWrap/>
            <w:hideMark/>
          </w:tcPr>
          <w:p w14:paraId="413B487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5,300</w:t>
            </w:r>
          </w:p>
        </w:tc>
        <w:tc>
          <w:tcPr>
            <w:tcW w:w="1276" w:type="dxa"/>
            <w:noWrap/>
            <w:hideMark/>
          </w:tcPr>
          <w:p w14:paraId="1A58046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6,847</w:t>
            </w:r>
          </w:p>
        </w:tc>
        <w:tc>
          <w:tcPr>
            <w:tcW w:w="1139" w:type="dxa"/>
            <w:noWrap/>
            <w:hideMark/>
          </w:tcPr>
          <w:p w14:paraId="3DADB0F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6,847</w:t>
            </w:r>
          </w:p>
        </w:tc>
        <w:tc>
          <w:tcPr>
            <w:tcW w:w="1139" w:type="dxa"/>
            <w:noWrap/>
            <w:hideMark/>
          </w:tcPr>
          <w:p w14:paraId="4B6AF3D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6,847</w:t>
            </w:r>
          </w:p>
        </w:tc>
      </w:tr>
      <w:tr w:rsidR="004B3CB8" w:rsidRPr="008B78C1" w14:paraId="40D9EFEF" w14:textId="77777777" w:rsidTr="00610594">
        <w:trPr>
          <w:trHeight w:val="290"/>
        </w:trPr>
        <w:tc>
          <w:tcPr>
            <w:tcW w:w="3256" w:type="dxa"/>
            <w:hideMark/>
          </w:tcPr>
          <w:p w14:paraId="3EF01CA3"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lastRenderedPageBreak/>
              <w:t>Section 31 - Pension related</w:t>
            </w:r>
          </w:p>
        </w:tc>
        <w:tc>
          <w:tcPr>
            <w:tcW w:w="1134" w:type="dxa"/>
            <w:noWrap/>
            <w:hideMark/>
          </w:tcPr>
          <w:p w14:paraId="1C876711"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5,605</w:t>
            </w:r>
          </w:p>
        </w:tc>
        <w:tc>
          <w:tcPr>
            <w:tcW w:w="1265" w:type="dxa"/>
            <w:noWrap/>
            <w:hideMark/>
          </w:tcPr>
          <w:p w14:paraId="1189C674"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5,605</w:t>
            </w:r>
          </w:p>
        </w:tc>
        <w:tc>
          <w:tcPr>
            <w:tcW w:w="1276" w:type="dxa"/>
            <w:noWrap/>
            <w:hideMark/>
          </w:tcPr>
          <w:p w14:paraId="6D8F0A5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5,605</w:t>
            </w:r>
          </w:p>
        </w:tc>
        <w:tc>
          <w:tcPr>
            <w:tcW w:w="1139" w:type="dxa"/>
            <w:noWrap/>
            <w:hideMark/>
          </w:tcPr>
          <w:p w14:paraId="238D4A6F"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5,605</w:t>
            </w:r>
          </w:p>
        </w:tc>
        <w:tc>
          <w:tcPr>
            <w:tcW w:w="1139" w:type="dxa"/>
            <w:noWrap/>
            <w:hideMark/>
          </w:tcPr>
          <w:p w14:paraId="7E6D441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5,605</w:t>
            </w:r>
          </w:p>
        </w:tc>
      </w:tr>
      <w:tr w:rsidR="004B3CB8" w:rsidRPr="008B78C1" w14:paraId="62C46B60" w14:textId="77777777" w:rsidTr="00610594">
        <w:trPr>
          <w:trHeight w:val="290"/>
        </w:trPr>
        <w:tc>
          <w:tcPr>
            <w:tcW w:w="3256" w:type="dxa"/>
            <w:hideMark/>
          </w:tcPr>
          <w:p w14:paraId="03D68C0E"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Precept (at £76.20 Band D)</w:t>
            </w:r>
          </w:p>
        </w:tc>
        <w:tc>
          <w:tcPr>
            <w:tcW w:w="1134" w:type="dxa"/>
            <w:noWrap/>
            <w:hideMark/>
          </w:tcPr>
          <w:p w14:paraId="58C79B9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55,429</w:t>
            </w:r>
          </w:p>
        </w:tc>
        <w:tc>
          <w:tcPr>
            <w:tcW w:w="1265" w:type="dxa"/>
            <w:noWrap/>
            <w:hideMark/>
          </w:tcPr>
          <w:p w14:paraId="7CA9245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55,429</w:t>
            </w:r>
          </w:p>
        </w:tc>
        <w:tc>
          <w:tcPr>
            <w:tcW w:w="1276" w:type="dxa"/>
            <w:noWrap/>
            <w:hideMark/>
          </w:tcPr>
          <w:p w14:paraId="7FE4A6D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60,463</w:t>
            </w:r>
          </w:p>
        </w:tc>
        <w:tc>
          <w:tcPr>
            <w:tcW w:w="1139" w:type="dxa"/>
            <w:noWrap/>
            <w:hideMark/>
          </w:tcPr>
          <w:p w14:paraId="01E1D35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60,463</w:t>
            </w:r>
          </w:p>
        </w:tc>
        <w:tc>
          <w:tcPr>
            <w:tcW w:w="1139" w:type="dxa"/>
            <w:noWrap/>
            <w:hideMark/>
          </w:tcPr>
          <w:p w14:paraId="4F755180"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60,463</w:t>
            </w:r>
          </w:p>
        </w:tc>
      </w:tr>
      <w:tr w:rsidR="004B3CB8" w:rsidRPr="008B78C1" w14:paraId="49813F30" w14:textId="77777777" w:rsidTr="00610594">
        <w:trPr>
          <w:trHeight w:val="290"/>
        </w:trPr>
        <w:tc>
          <w:tcPr>
            <w:tcW w:w="3256" w:type="dxa"/>
            <w:hideMark/>
          </w:tcPr>
          <w:p w14:paraId="2458247C"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Collection Fund sur/def</w:t>
            </w:r>
          </w:p>
        </w:tc>
        <w:tc>
          <w:tcPr>
            <w:tcW w:w="1134" w:type="dxa"/>
            <w:noWrap/>
            <w:hideMark/>
          </w:tcPr>
          <w:p w14:paraId="647C5E0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-2,637</w:t>
            </w:r>
          </w:p>
        </w:tc>
        <w:tc>
          <w:tcPr>
            <w:tcW w:w="1265" w:type="dxa"/>
            <w:noWrap/>
            <w:hideMark/>
          </w:tcPr>
          <w:p w14:paraId="122FCFC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-2,637</w:t>
            </w:r>
          </w:p>
        </w:tc>
        <w:tc>
          <w:tcPr>
            <w:tcW w:w="1276" w:type="dxa"/>
            <w:noWrap/>
            <w:hideMark/>
          </w:tcPr>
          <w:p w14:paraId="4F4265E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332</w:t>
            </w:r>
          </w:p>
        </w:tc>
        <w:tc>
          <w:tcPr>
            <w:tcW w:w="1139" w:type="dxa"/>
            <w:noWrap/>
            <w:hideMark/>
          </w:tcPr>
          <w:p w14:paraId="414BFE4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c>
          <w:tcPr>
            <w:tcW w:w="1139" w:type="dxa"/>
            <w:noWrap/>
            <w:hideMark/>
          </w:tcPr>
          <w:p w14:paraId="1B66957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r>
      <w:tr w:rsidR="004B3CB8" w:rsidRPr="008B78C1" w14:paraId="608589D8" w14:textId="77777777" w:rsidTr="00610594">
        <w:trPr>
          <w:trHeight w:val="290"/>
        </w:trPr>
        <w:tc>
          <w:tcPr>
            <w:tcW w:w="3256" w:type="dxa"/>
            <w:hideMark/>
          </w:tcPr>
          <w:p w14:paraId="7E61F46B"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134" w:type="dxa"/>
            <w:noWrap/>
            <w:hideMark/>
          </w:tcPr>
          <w:p w14:paraId="0EEAA0DD"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116,348</w:t>
            </w:r>
          </w:p>
        </w:tc>
        <w:tc>
          <w:tcPr>
            <w:tcW w:w="1265" w:type="dxa"/>
            <w:noWrap/>
            <w:hideMark/>
          </w:tcPr>
          <w:p w14:paraId="5A29F8A7"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116,349</w:t>
            </w:r>
          </w:p>
        </w:tc>
        <w:tc>
          <w:tcPr>
            <w:tcW w:w="1276" w:type="dxa"/>
            <w:noWrap/>
            <w:hideMark/>
          </w:tcPr>
          <w:p w14:paraId="17350B9E"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127,287</w:t>
            </w:r>
          </w:p>
        </w:tc>
        <w:tc>
          <w:tcPr>
            <w:tcW w:w="1139" w:type="dxa"/>
            <w:noWrap/>
            <w:hideMark/>
          </w:tcPr>
          <w:p w14:paraId="690B63EB"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126,955</w:t>
            </w:r>
          </w:p>
        </w:tc>
        <w:tc>
          <w:tcPr>
            <w:tcW w:w="1139" w:type="dxa"/>
            <w:noWrap/>
            <w:hideMark/>
          </w:tcPr>
          <w:p w14:paraId="75051F0F"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125,711</w:t>
            </w:r>
          </w:p>
        </w:tc>
      </w:tr>
      <w:tr w:rsidR="004B3CB8" w:rsidRPr="00285F26" w14:paraId="38EF957D" w14:textId="77777777" w:rsidTr="00610594">
        <w:trPr>
          <w:trHeight w:val="67"/>
        </w:trPr>
        <w:tc>
          <w:tcPr>
            <w:tcW w:w="3256" w:type="dxa"/>
            <w:hideMark/>
          </w:tcPr>
          <w:p w14:paraId="7E0605FF" w14:textId="7B283C74" w:rsidR="001D7B5D" w:rsidRPr="00285F26" w:rsidRDefault="001D7B5D" w:rsidP="00285F26">
            <w:pPr>
              <w:rPr>
                <w:rFonts w:eastAsia="Times New Roman" w:cs="Arial"/>
                <w:b/>
                <w:bCs/>
                <w:color w:val="000000"/>
                <w:sz w:val="4"/>
                <w:szCs w:val="4"/>
                <w:lang w:eastAsia="en-GB"/>
              </w:rPr>
            </w:pPr>
          </w:p>
        </w:tc>
        <w:tc>
          <w:tcPr>
            <w:tcW w:w="1134" w:type="dxa"/>
            <w:noWrap/>
            <w:hideMark/>
          </w:tcPr>
          <w:p w14:paraId="4821025E" w14:textId="77777777" w:rsidR="001D7B5D" w:rsidRPr="00285F26" w:rsidRDefault="001D7B5D" w:rsidP="00285F26">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c>
          <w:tcPr>
            <w:tcW w:w="1265" w:type="dxa"/>
            <w:noWrap/>
            <w:hideMark/>
          </w:tcPr>
          <w:p w14:paraId="3564BE5E" w14:textId="77777777" w:rsidR="001D7B5D" w:rsidRPr="00285F26" w:rsidRDefault="001D7B5D" w:rsidP="00285F26">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c>
          <w:tcPr>
            <w:tcW w:w="1276" w:type="dxa"/>
            <w:noWrap/>
            <w:hideMark/>
          </w:tcPr>
          <w:p w14:paraId="74E7FD67" w14:textId="77777777" w:rsidR="001D7B5D" w:rsidRPr="00285F26" w:rsidRDefault="001D7B5D" w:rsidP="00285F26">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c>
          <w:tcPr>
            <w:tcW w:w="1139" w:type="dxa"/>
            <w:noWrap/>
            <w:hideMark/>
          </w:tcPr>
          <w:p w14:paraId="02F14FC8" w14:textId="77777777" w:rsidR="001D7B5D" w:rsidRPr="00285F26" w:rsidRDefault="001D7B5D" w:rsidP="00285F26">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c>
          <w:tcPr>
            <w:tcW w:w="1139" w:type="dxa"/>
            <w:noWrap/>
            <w:hideMark/>
          </w:tcPr>
          <w:p w14:paraId="7E8E6CC4" w14:textId="77777777" w:rsidR="001D7B5D" w:rsidRPr="00285F26" w:rsidRDefault="001D7B5D" w:rsidP="00285F26">
            <w:pPr>
              <w:rPr>
                <w:rFonts w:eastAsia="Times New Roman" w:cs="Arial"/>
                <w:b/>
                <w:bCs/>
                <w:color w:val="000000"/>
                <w:sz w:val="4"/>
                <w:szCs w:val="4"/>
                <w:lang w:eastAsia="en-GB"/>
              </w:rPr>
            </w:pPr>
            <w:r w:rsidRPr="00285F26">
              <w:rPr>
                <w:rFonts w:eastAsia="Times New Roman" w:cs="Arial"/>
                <w:b/>
                <w:bCs/>
                <w:color w:val="000000"/>
                <w:sz w:val="4"/>
                <w:szCs w:val="4"/>
                <w:lang w:eastAsia="en-GB"/>
              </w:rPr>
              <w:t> </w:t>
            </w:r>
          </w:p>
        </w:tc>
      </w:tr>
      <w:tr w:rsidR="004B3CB8" w:rsidRPr="008B78C1" w14:paraId="3DADD796" w14:textId="77777777" w:rsidTr="00610594">
        <w:trPr>
          <w:trHeight w:val="290"/>
        </w:trPr>
        <w:tc>
          <w:tcPr>
            <w:tcW w:w="3256" w:type="dxa"/>
            <w:hideMark/>
          </w:tcPr>
          <w:p w14:paraId="5A46B7BF"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Shortfall</w:t>
            </w:r>
          </w:p>
        </w:tc>
        <w:tc>
          <w:tcPr>
            <w:tcW w:w="1134" w:type="dxa"/>
            <w:noWrap/>
            <w:hideMark/>
          </w:tcPr>
          <w:p w14:paraId="66040455"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3,194</w:t>
            </w:r>
          </w:p>
        </w:tc>
        <w:tc>
          <w:tcPr>
            <w:tcW w:w="1265" w:type="dxa"/>
            <w:noWrap/>
            <w:hideMark/>
          </w:tcPr>
          <w:p w14:paraId="43272AF0"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5,953</w:t>
            </w:r>
          </w:p>
        </w:tc>
        <w:tc>
          <w:tcPr>
            <w:tcW w:w="1276" w:type="dxa"/>
            <w:noWrap/>
            <w:hideMark/>
          </w:tcPr>
          <w:p w14:paraId="50A70EE8"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822</w:t>
            </w:r>
          </w:p>
        </w:tc>
        <w:tc>
          <w:tcPr>
            <w:tcW w:w="1139" w:type="dxa"/>
            <w:noWrap/>
            <w:hideMark/>
          </w:tcPr>
          <w:p w14:paraId="33F3AC54"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4,362</w:t>
            </w:r>
          </w:p>
        </w:tc>
        <w:tc>
          <w:tcPr>
            <w:tcW w:w="1139" w:type="dxa"/>
            <w:noWrap/>
            <w:hideMark/>
          </w:tcPr>
          <w:p w14:paraId="2626E863"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7,869</w:t>
            </w:r>
          </w:p>
        </w:tc>
      </w:tr>
      <w:tr w:rsidR="004B3CB8" w:rsidRPr="001B7923" w14:paraId="69599E5E" w14:textId="77777777" w:rsidTr="00610594">
        <w:trPr>
          <w:trHeight w:val="67"/>
        </w:trPr>
        <w:tc>
          <w:tcPr>
            <w:tcW w:w="3256" w:type="dxa"/>
            <w:hideMark/>
          </w:tcPr>
          <w:p w14:paraId="5134631E" w14:textId="77777777" w:rsidR="001D7B5D" w:rsidRPr="001B7923" w:rsidRDefault="001D7B5D" w:rsidP="00341444">
            <w:pPr>
              <w:rPr>
                <w:rFonts w:eastAsia="Times New Roman" w:cs="Arial"/>
                <w:b/>
                <w:bCs/>
                <w:color w:val="000000"/>
                <w:sz w:val="4"/>
                <w:szCs w:val="4"/>
                <w:lang w:eastAsia="en-GB"/>
              </w:rPr>
            </w:pPr>
            <w:r w:rsidRPr="001B7923">
              <w:rPr>
                <w:rFonts w:eastAsia="Times New Roman" w:cs="Arial"/>
                <w:b/>
                <w:bCs/>
                <w:color w:val="000000"/>
                <w:sz w:val="4"/>
                <w:szCs w:val="4"/>
                <w:lang w:eastAsia="en-GB"/>
              </w:rPr>
              <w:t> </w:t>
            </w:r>
          </w:p>
        </w:tc>
        <w:tc>
          <w:tcPr>
            <w:tcW w:w="1134" w:type="dxa"/>
            <w:noWrap/>
            <w:hideMark/>
          </w:tcPr>
          <w:p w14:paraId="61CB56A1" w14:textId="77777777" w:rsidR="001D7B5D" w:rsidRPr="001B7923" w:rsidRDefault="001D7B5D" w:rsidP="00341444">
            <w:pPr>
              <w:jc w:val="right"/>
              <w:rPr>
                <w:rFonts w:eastAsia="Times New Roman" w:cs="Arial"/>
                <w:color w:val="000000"/>
                <w:sz w:val="4"/>
                <w:szCs w:val="4"/>
                <w:lang w:eastAsia="en-GB"/>
              </w:rPr>
            </w:pPr>
            <w:r w:rsidRPr="001B7923">
              <w:rPr>
                <w:rFonts w:eastAsia="Times New Roman" w:cs="Arial"/>
                <w:color w:val="000000"/>
                <w:sz w:val="4"/>
                <w:szCs w:val="4"/>
                <w:lang w:eastAsia="en-GB"/>
              </w:rPr>
              <w:t> </w:t>
            </w:r>
          </w:p>
        </w:tc>
        <w:tc>
          <w:tcPr>
            <w:tcW w:w="1265" w:type="dxa"/>
            <w:noWrap/>
            <w:hideMark/>
          </w:tcPr>
          <w:p w14:paraId="50C74B6F" w14:textId="77777777" w:rsidR="001D7B5D" w:rsidRPr="001B7923" w:rsidRDefault="001D7B5D" w:rsidP="00341444">
            <w:pPr>
              <w:jc w:val="right"/>
              <w:rPr>
                <w:rFonts w:eastAsia="Times New Roman" w:cs="Arial"/>
                <w:color w:val="000000"/>
                <w:sz w:val="4"/>
                <w:szCs w:val="4"/>
                <w:lang w:eastAsia="en-GB"/>
              </w:rPr>
            </w:pPr>
            <w:r w:rsidRPr="001B7923">
              <w:rPr>
                <w:rFonts w:eastAsia="Times New Roman" w:cs="Arial"/>
                <w:color w:val="000000"/>
                <w:sz w:val="4"/>
                <w:szCs w:val="4"/>
                <w:lang w:eastAsia="en-GB"/>
              </w:rPr>
              <w:t> </w:t>
            </w:r>
          </w:p>
        </w:tc>
        <w:tc>
          <w:tcPr>
            <w:tcW w:w="1276" w:type="dxa"/>
            <w:noWrap/>
            <w:hideMark/>
          </w:tcPr>
          <w:p w14:paraId="08A5BF37" w14:textId="77777777" w:rsidR="001D7B5D" w:rsidRPr="001B7923" w:rsidRDefault="001D7B5D" w:rsidP="00341444">
            <w:pPr>
              <w:jc w:val="right"/>
              <w:rPr>
                <w:rFonts w:eastAsia="Times New Roman" w:cs="Arial"/>
                <w:color w:val="000000"/>
                <w:sz w:val="4"/>
                <w:szCs w:val="4"/>
                <w:lang w:eastAsia="en-GB"/>
              </w:rPr>
            </w:pPr>
            <w:r w:rsidRPr="001B7923">
              <w:rPr>
                <w:rFonts w:eastAsia="Times New Roman" w:cs="Arial"/>
                <w:color w:val="000000"/>
                <w:sz w:val="4"/>
                <w:szCs w:val="4"/>
                <w:lang w:eastAsia="en-GB"/>
              </w:rPr>
              <w:t> </w:t>
            </w:r>
          </w:p>
        </w:tc>
        <w:tc>
          <w:tcPr>
            <w:tcW w:w="1139" w:type="dxa"/>
            <w:noWrap/>
            <w:hideMark/>
          </w:tcPr>
          <w:p w14:paraId="59A544F2" w14:textId="77777777" w:rsidR="001D7B5D" w:rsidRPr="001B7923" w:rsidRDefault="001D7B5D" w:rsidP="00341444">
            <w:pPr>
              <w:jc w:val="right"/>
              <w:rPr>
                <w:rFonts w:eastAsia="Times New Roman" w:cs="Arial"/>
                <w:color w:val="000000"/>
                <w:sz w:val="4"/>
                <w:szCs w:val="4"/>
                <w:lang w:eastAsia="en-GB"/>
              </w:rPr>
            </w:pPr>
            <w:r w:rsidRPr="001B7923">
              <w:rPr>
                <w:rFonts w:eastAsia="Times New Roman" w:cs="Arial"/>
                <w:color w:val="000000"/>
                <w:sz w:val="4"/>
                <w:szCs w:val="4"/>
                <w:lang w:eastAsia="en-GB"/>
              </w:rPr>
              <w:t> </w:t>
            </w:r>
          </w:p>
        </w:tc>
        <w:tc>
          <w:tcPr>
            <w:tcW w:w="1139" w:type="dxa"/>
            <w:noWrap/>
            <w:hideMark/>
          </w:tcPr>
          <w:p w14:paraId="3452D8F2" w14:textId="77777777" w:rsidR="001D7B5D" w:rsidRPr="001B7923" w:rsidRDefault="001D7B5D" w:rsidP="00341444">
            <w:pPr>
              <w:jc w:val="right"/>
              <w:rPr>
                <w:rFonts w:eastAsia="Times New Roman" w:cs="Arial"/>
                <w:color w:val="000000"/>
                <w:sz w:val="4"/>
                <w:szCs w:val="4"/>
                <w:lang w:eastAsia="en-GB"/>
              </w:rPr>
            </w:pPr>
            <w:r w:rsidRPr="001B7923">
              <w:rPr>
                <w:rFonts w:eastAsia="Times New Roman" w:cs="Arial"/>
                <w:color w:val="000000"/>
                <w:sz w:val="4"/>
                <w:szCs w:val="4"/>
                <w:lang w:eastAsia="en-GB"/>
              </w:rPr>
              <w:t> </w:t>
            </w:r>
          </w:p>
        </w:tc>
      </w:tr>
      <w:tr w:rsidR="004B3CB8" w:rsidRPr="008B78C1" w14:paraId="250AB366" w14:textId="77777777" w:rsidTr="00610594">
        <w:trPr>
          <w:trHeight w:val="290"/>
        </w:trPr>
        <w:tc>
          <w:tcPr>
            <w:tcW w:w="3256" w:type="dxa"/>
            <w:hideMark/>
          </w:tcPr>
          <w:p w14:paraId="2E1D6FEA"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Shortfall Funded by:</w:t>
            </w:r>
          </w:p>
        </w:tc>
        <w:tc>
          <w:tcPr>
            <w:tcW w:w="1134" w:type="dxa"/>
            <w:noWrap/>
            <w:hideMark/>
          </w:tcPr>
          <w:p w14:paraId="3A5B2FD6"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265" w:type="dxa"/>
            <w:noWrap/>
            <w:hideMark/>
          </w:tcPr>
          <w:p w14:paraId="5746F7B0"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276" w:type="dxa"/>
            <w:noWrap/>
            <w:hideMark/>
          </w:tcPr>
          <w:p w14:paraId="5898F7B3"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139" w:type="dxa"/>
            <w:noWrap/>
            <w:hideMark/>
          </w:tcPr>
          <w:p w14:paraId="7F6362EB"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c>
          <w:tcPr>
            <w:tcW w:w="1139" w:type="dxa"/>
            <w:noWrap/>
            <w:hideMark/>
          </w:tcPr>
          <w:p w14:paraId="22D6C9D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 </w:t>
            </w:r>
          </w:p>
        </w:tc>
      </w:tr>
      <w:tr w:rsidR="004B3CB8" w:rsidRPr="008B78C1" w14:paraId="73B324B2" w14:textId="77777777" w:rsidTr="00610594">
        <w:trPr>
          <w:trHeight w:val="290"/>
        </w:trPr>
        <w:tc>
          <w:tcPr>
            <w:tcW w:w="3256" w:type="dxa"/>
            <w:hideMark/>
          </w:tcPr>
          <w:p w14:paraId="2691058E"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Earmarked Reserves</w:t>
            </w:r>
          </w:p>
        </w:tc>
        <w:tc>
          <w:tcPr>
            <w:tcW w:w="1134" w:type="dxa"/>
            <w:noWrap/>
            <w:hideMark/>
          </w:tcPr>
          <w:p w14:paraId="248EE697"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3,194</w:t>
            </w:r>
          </w:p>
        </w:tc>
        <w:tc>
          <w:tcPr>
            <w:tcW w:w="1265" w:type="dxa"/>
            <w:noWrap/>
            <w:hideMark/>
          </w:tcPr>
          <w:p w14:paraId="1930E5B5"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3,194</w:t>
            </w:r>
          </w:p>
        </w:tc>
        <w:tc>
          <w:tcPr>
            <w:tcW w:w="1276" w:type="dxa"/>
            <w:noWrap/>
            <w:hideMark/>
          </w:tcPr>
          <w:p w14:paraId="03E902BC"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822</w:t>
            </w:r>
          </w:p>
        </w:tc>
        <w:tc>
          <w:tcPr>
            <w:tcW w:w="1139" w:type="dxa"/>
            <w:noWrap/>
            <w:hideMark/>
          </w:tcPr>
          <w:p w14:paraId="1D1A9FB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426</w:t>
            </w:r>
          </w:p>
        </w:tc>
        <w:tc>
          <w:tcPr>
            <w:tcW w:w="1139" w:type="dxa"/>
            <w:noWrap/>
            <w:hideMark/>
          </w:tcPr>
          <w:p w14:paraId="216D2863"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r>
      <w:tr w:rsidR="004B3CB8" w:rsidRPr="008B78C1" w14:paraId="7CEBC0B5" w14:textId="77777777" w:rsidTr="00610594">
        <w:trPr>
          <w:trHeight w:val="290"/>
        </w:trPr>
        <w:tc>
          <w:tcPr>
            <w:tcW w:w="3256" w:type="dxa"/>
            <w:hideMark/>
          </w:tcPr>
          <w:p w14:paraId="3A93AC7D" w14:textId="77777777" w:rsidR="001D7B5D" w:rsidRPr="000352DA" w:rsidRDefault="001D7B5D" w:rsidP="00341444">
            <w:pPr>
              <w:rPr>
                <w:rFonts w:eastAsia="Times New Roman" w:cs="Arial"/>
                <w:color w:val="000000"/>
                <w:sz w:val="20"/>
                <w:szCs w:val="20"/>
                <w:lang w:eastAsia="en-GB"/>
              </w:rPr>
            </w:pPr>
            <w:r w:rsidRPr="000352DA">
              <w:rPr>
                <w:rFonts w:eastAsia="Times New Roman" w:cs="Arial"/>
                <w:color w:val="000000"/>
                <w:sz w:val="20"/>
                <w:szCs w:val="20"/>
                <w:lang w:eastAsia="en-GB"/>
              </w:rPr>
              <w:t>Reserves/Precept Increase</w:t>
            </w:r>
          </w:p>
        </w:tc>
        <w:tc>
          <w:tcPr>
            <w:tcW w:w="1134" w:type="dxa"/>
            <w:noWrap/>
            <w:hideMark/>
          </w:tcPr>
          <w:p w14:paraId="4E4CF992"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c>
          <w:tcPr>
            <w:tcW w:w="1265" w:type="dxa"/>
            <w:noWrap/>
            <w:hideMark/>
          </w:tcPr>
          <w:p w14:paraId="7A0F3EC9"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2,759</w:t>
            </w:r>
          </w:p>
        </w:tc>
        <w:tc>
          <w:tcPr>
            <w:tcW w:w="1276" w:type="dxa"/>
            <w:noWrap/>
            <w:hideMark/>
          </w:tcPr>
          <w:p w14:paraId="35E8A2AD"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0</w:t>
            </w:r>
          </w:p>
        </w:tc>
        <w:tc>
          <w:tcPr>
            <w:tcW w:w="1139" w:type="dxa"/>
            <w:noWrap/>
            <w:hideMark/>
          </w:tcPr>
          <w:p w14:paraId="38B591DA"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3,936</w:t>
            </w:r>
          </w:p>
        </w:tc>
        <w:tc>
          <w:tcPr>
            <w:tcW w:w="1139" w:type="dxa"/>
            <w:noWrap/>
            <w:hideMark/>
          </w:tcPr>
          <w:p w14:paraId="28A92B38" w14:textId="77777777" w:rsidR="001D7B5D" w:rsidRPr="000352DA" w:rsidRDefault="001D7B5D" w:rsidP="00341444">
            <w:pPr>
              <w:jc w:val="right"/>
              <w:rPr>
                <w:rFonts w:eastAsia="Times New Roman" w:cs="Arial"/>
                <w:color w:val="000000"/>
                <w:sz w:val="20"/>
                <w:szCs w:val="20"/>
                <w:lang w:eastAsia="en-GB"/>
              </w:rPr>
            </w:pPr>
            <w:r w:rsidRPr="000352DA">
              <w:rPr>
                <w:rFonts w:eastAsia="Times New Roman" w:cs="Arial"/>
                <w:color w:val="000000"/>
                <w:sz w:val="20"/>
                <w:szCs w:val="20"/>
                <w:lang w:eastAsia="en-GB"/>
              </w:rPr>
              <w:t>7,869</w:t>
            </w:r>
          </w:p>
        </w:tc>
      </w:tr>
      <w:tr w:rsidR="004B3CB8" w:rsidRPr="008B78C1" w14:paraId="2D3381AA" w14:textId="77777777" w:rsidTr="00610594">
        <w:trPr>
          <w:trHeight w:val="290"/>
        </w:trPr>
        <w:tc>
          <w:tcPr>
            <w:tcW w:w="3256" w:type="dxa"/>
            <w:hideMark/>
          </w:tcPr>
          <w:p w14:paraId="7B4CD6E3" w14:textId="77777777" w:rsidR="001D7B5D" w:rsidRPr="000352DA" w:rsidRDefault="001D7B5D" w:rsidP="00341444">
            <w:pPr>
              <w:rPr>
                <w:rFonts w:eastAsia="Times New Roman" w:cs="Arial"/>
                <w:b/>
                <w:bCs/>
                <w:color w:val="000000"/>
                <w:sz w:val="20"/>
                <w:szCs w:val="20"/>
                <w:lang w:eastAsia="en-GB"/>
              </w:rPr>
            </w:pPr>
            <w:r w:rsidRPr="000352DA">
              <w:rPr>
                <w:rFonts w:eastAsia="Times New Roman" w:cs="Arial"/>
                <w:b/>
                <w:bCs/>
                <w:color w:val="000000"/>
                <w:sz w:val="20"/>
                <w:szCs w:val="20"/>
                <w:lang w:eastAsia="en-GB"/>
              </w:rPr>
              <w:t>Total</w:t>
            </w:r>
          </w:p>
        </w:tc>
        <w:tc>
          <w:tcPr>
            <w:tcW w:w="1134" w:type="dxa"/>
            <w:noWrap/>
            <w:hideMark/>
          </w:tcPr>
          <w:p w14:paraId="4DDCBB79"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3,194</w:t>
            </w:r>
          </w:p>
        </w:tc>
        <w:tc>
          <w:tcPr>
            <w:tcW w:w="1265" w:type="dxa"/>
            <w:noWrap/>
            <w:hideMark/>
          </w:tcPr>
          <w:p w14:paraId="2810F849"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5,953</w:t>
            </w:r>
          </w:p>
        </w:tc>
        <w:tc>
          <w:tcPr>
            <w:tcW w:w="1276" w:type="dxa"/>
            <w:noWrap/>
            <w:hideMark/>
          </w:tcPr>
          <w:p w14:paraId="2E11CE81"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822</w:t>
            </w:r>
          </w:p>
        </w:tc>
        <w:tc>
          <w:tcPr>
            <w:tcW w:w="1139" w:type="dxa"/>
            <w:noWrap/>
            <w:hideMark/>
          </w:tcPr>
          <w:p w14:paraId="7C2BF75D"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4,362</w:t>
            </w:r>
          </w:p>
        </w:tc>
        <w:tc>
          <w:tcPr>
            <w:tcW w:w="1139" w:type="dxa"/>
            <w:noWrap/>
            <w:hideMark/>
          </w:tcPr>
          <w:p w14:paraId="3DBD9615" w14:textId="77777777" w:rsidR="001D7B5D" w:rsidRPr="000352DA" w:rsidRDefault="001D7B5D" w:rsidP="00341444">
            <w:pPr>
              <w:jc w:val="right"/>
              <w:rPr>
                <w:rFonts w:eastAsia="Times New Roman" w:cs="Arial"/>
                <w:b/>
                <w:bCs/>
                <w:color w:val="000000"/>
                <w:sz w:val="20"/>
                <w:szCs w:val="20"/>
                <w:lang w:eastAsia="en-GB"/>
              </w:rPr>
            </w:pPr>
            <w:r w:rsidRPr="000352DA">
              <w:rPr>
                <w:rFonts w:eastAsia="Times New Roman" w:cs="Arial"/>
                <w:b/>
                <w:bCs/>
                <w:color w:val="000000"/>
                <w:sz w:val="20"/>
                <w:szCs w:val="20"/>
                <w:lang w:eastAsia="en-GB"/>
              </w:rPr>
              <w:t>7,869</w:t>
            </w:r>
          </w:p>
        </w:tc>
      </w:tr>
    </w:tbl>
    <w:p w14:paraId="459FBFE2" w14:textId="77777777" w:rsidR="00871C4B" w:rsidRPr="00285F26" w:rsidRDefault="00871C4B" w:rsidP="00871C4B">
      <w:pPr>
        <w:rPr>
          <w:b/>
          <w:bCs/>
          <w:sz w:val="4"/>
          <w:szCs w:val="4"/>
        </w:rPr>
      </w:pPr>
    </w:p>
    <w:p w14:paraId="43443008" w14:textId="77777777" w:rsidR="00D718C0" w:rsidRPr="00D718C0" w:rsidRDefault="00D718C0" w:rsidP="00D718C0">
      <w:pPr>
        <w:contextualSpacing/>
        <w:jc w:val="both"/>
        <w:rPr>
          <w:rFonts w:cs="Arial"/>
        </w:rPr>
      </w:pPr>
      <w:r w:rsidRPr="00D718C0">
        <w:rPr>
          <w:rFonts w:cs="Arial"/>
        </w:rPr>
        <w:t>Funding is based on the details from the Provisional Settlement, released in December. The baseline funding from Revenue Support grant and Top-up grant has increased by £2.353m from the 2022/23 position with a reduction in Services Grant of £0.965m.  Localised business rates are assumed at the same level of income as last year, with information from Districts not yet available to determine next year’s position at this stage.  This represents an increase in total Government funding for the service of just over 3%.  Whilst this is higher than in previous years, it falls some way short of the pay and non-pay inflation pressures faced by the service.</w:t>
      </w:r>
    </w:p>
    <w:p w14:paraId="386385C4" w14:textId="11B71FE8" w:rsidR="00D718C0" w:rsidRPr="00311413" w:rsidRDefault="00D718C0" w:rsidP="006D6A95">
      <w:pPr>
        <w:pStyle w:val="Heading3"/>
      </w:pPr>
      <w:r w:rsidRPr="00311413">
        <w:t>Reserves</w:t>
      </w:r>
    </w:p>
    <w:p w14:paraId="426919E6" w14:textId="77777777" w:rsidR="00A90E57" w:rsidRPr="00A90E57" w:rsidRDefault="00A90E57" w:rsidP="00A90E57">
      <w:pPr>
        <w:contextualSpacing/>
        <w:jc w:val="both"/>
        <w:rPr>
          <w:rFonts w:cs="Arial"/>
        </w:rPr>
      </w:pPr>
      <w:r w:rsidRPr="00A90E57">
        <w:rPr>
          <w:rFonts w:cs="Arial"/>
        </w:rPr>
        <w:t>Taking account of the budget outlined in this paper, the reserves for GMFRS for 2023/24 are as follows:</w:t>
      </w:r>
    </w:p>
    <w:tbl>
      <w:tblPr>
        <w:tblStyle w:val="TableGrid"/>
        <w:tblW w:w="9498" w:type="dxa"/>
        <w:tblLook w:val="04A0" w:firstRow="1" w:lastRow="0" w:firstColumn="1" w:lastColumn="0" w:noHBand="0" w:noVBand="1"/>
      </w:tblPr>
      <w:tblGrid>
        <w:gridCol w:w="2552"/>
        <w:gridCol w:w="1701"/>
        <w:gridCol w:w="1134"/>
        <w:gridCol w:w="1559"/>
        <w:gridCol w:w="1134"/>
        <w:gridCol w:w="1418"/>
      </w:tblGrid>
      <w:tr w:rsidR="00E453A8" w:rsidRPr="0000102F" w14:paraId="71532FD1" w14:textId="77777777" w:rsidTr="00610594">
        <w:trPr>
          <w:trHeight w:val="865"/>
        </w:trPr>
        <w:tc>
          <w:tcPr>
            <w:tcW w:w="2552" w:type="dxa"/>
            <w:noWrap/>
            <w:hideMark/>
          </w:tcPr>
          <w:p w14:paraId="51A2A7E0" w14:textId="77777777" w:rsidR="00E453A8" w:rsidRPr="0000102F" w:rsidRDefault="00E453A8" w:rsidP="00341444">
            <w:pPr>
              <w:spacing w:line="276" w:lineRule="auto"/>
              <w:rPr>
                <w:rFonts w:eastAsia="Times New Roman" w:cs="Arial"/>
                <w:b/>
                <w:bCs/>
                <w:color w:val="000000"/>
                <w:sz w:val="20"/>
                <w:szCs w:val="20"/>
                <w:lang w:eastAsia="en-GB"/>
              </w:rPr>
            </w:pPr>
          </w:p>
          <w:p w14:paraId="680F1C22" w14:textId="77777777" w:rsidR="00E453A8" w:rsidRPr="0000102F" w:rsidRDefault="00E453A8" w:rsidP="00341444">
            <w:pPr>
              <w:spacing w:line="276" w:lineRule="auto"/>
              <w:rPr>
                <w:rFonts w:eastAsia="Times New Roman" w:cs="Arial"/>
                <w:b/>
                <w:bCs/>
                <w:color w:val="000000"/>
                <w:sz w:val="20"/>
                <w:szCs w:val="20"/>
                <w:lang w:eastAsia="en-GB"/>
              </w:rPr>
            </w:pPr>
            <w:r w:rsidRPr="0000102F">
              <w:rPr>
                <w:rFonts w:eastAsia="Times New Roman" w:cs="Arial"/>
                <w:b/>
                <w:bCs/>
                <w:color w:val="000000"/>
                <w:sz w:val="20"/>
                <w:szCs w:val="20"/>
                <w:lang w:eastAsia="en-GB"/>
              </w:rPr>
              <w:t xml:space="preserve">GMFRS                                        Reserves </w:t>
            </w:r>
          </w:p>
        </w:tc>
        <w:tc>
          <w:tcPr>
            <w:tcW w:w="1701" w:type="dxa"/>
            <w:hideMark/>
          </w:tcPr>
          <w:p w14:paraId="26B72370" w14:textId="77777777" w:rsidR="00E453A8" w:rsidRPr="0000102F" w:rsidRDefault="00E453A8" w:rsidP="00341444">
            <w:pPr>
              <w:spacing w:line="276" w:lineRule="auto"/>
              <w:jc w:val="center"/>
              <w:rPr>
                <w:rFonts w:eastAsia="Times New Roman" w:cs="Arial"/>
                <w:b/>
                <w:bCs/>
                <w:color w:val="000000"/>
                <w:sz w:val="20"/>
                <w:szCs w:val="20"/>
                <w:lang w:eastAsia="en-GB"/>
              </w:rPr>
            </w:pPr>
            <w:r w:rsidRPr="0000102F">
              <w:rPr>
                <w:rFonts w:eastAsia="Times New Roman" w:cs="Arial"/>
                <w:b/>
                <w:bCs/>
                <w:color w:val="000000"/>
                <w:sz w:val="20"/>
                <w:szCs w:val="20"/>
                <w:lang w:eastAsia="en-GB"/>
              </w:rPr>
              <w:t>Closing Balances         31 March 2022</w:t>
            </w:r>
          </w:p>
        </w:tc>
        <w:tc>
          <w:tcPr>
            <w:tcW w:w="1134" w:type="dxa"/>
            <w:hideMark/>
          </w:tcPr>
          <w:p w14:paraId="5AD7466B" w14:textId="77777777" w:rsidR="00E453A8" w:rsidRPr="0000102F" w:rsidRDefault="00E453A8" w:rsidP="00341444">
            <w:pPr>
              <w:spacing w:line="276" w:lineRule="auto"/>
              <w:jc w:val="center"/>
              <w:rPr>
                <w:rFonts w:eastAsia="Times New Roman" w:cs="Arial"/>
                <w:b/>
                <w:bCs/>
                <w:color w:val="000000"/>
                <w:sz w:val="20"/>
                <w:szCs w:val="20"/>
                <w:lang w:eastAsia="en-GB"/>
              </w:rPr>
            </w:pPr>
            <w:r w:rsidRPr="0000102F">
              <w:rPr>
                <w:rFonts w:eastAsia="Times New Roman" w:cs="Arial"/>
                <w:b/>
                <w:bCs/>
                <w:color w:val="000000"/>
                <w:sz w:val="20"/>
                <w:szCs w:val="20"/>
                <w:lang w:eastAsia="en-GB"/>
              </w:rPr>
              <w:t>Transfer out/(in) 2022/23</w:t>
            </w:r>
          </w:p>
        </w:tc>
        <w:tc>
          <w:tcPr>
            <w:tcW w:w="1559" w:type="dxa"/>
            <w:hideMark/>
          </w:tcPr>
          <w:p w14:paraId="0FB562B2" w14:textId="77777777" w:rsidR="00E453A8" w:rsidRPr="0000102F" w:rsidRDefault="00E453A8" w:rsidP="00341444">
            <w:pPr>
              <w:spacing w:line="276" w:lineRule="auto"/>
              <w:jc w:val="center"/>
              <w:rPr>
                <w:rFonts w:eastAsia="Times New Roman" w:cs="Arial"/>
                <w:b/>
                <w:bCs/>
                <w:color w:val="000000"/>
                <w:sz w:val="20"/>
                <w:szCs w:val="20"/>
                <w:lang w:eastAsia="en-GB"/>
              </w:rPr>
            </w:pPr>
            <w:r w:rsidRPr="0000102F">
              <w:rPr>
                <w:rFonts w:eastAsia="Times New Roman" w:cs="Arial"/>
                <w:b/>
                <w:bCs/>
                <w:color w:val="000000"/>
                <w:sz w:val="20"/>
                <w:szCs w:val="20"/>
                <w:lang w:eastAsia="en-GB"/>
              </w:rPr>
              <w:t>Projected Balance March 2023</w:t>
            </w:r>
          </w:p>
        </w:tc>
        <w:tc>
          <w:tcPr>
            <w:tcW w:w="1134" w:type="dxa"/>
            <w:hideMark/>
          </w:tcPr>
          <w:p w14:paraId="3C9808C0" w14:textId="77777777" w:rsidR="00E453A8" w:rsidRPr="0000102F" w:rsidRDefault="00E453A8" w:rsidP="00341444">
            <w:pPr>
              <w:spacing w:line="276" w:lineRule="auto"/>
              <w:jc w:val="center"/>
              <w:rPr>
                <w:rFonts w:eastAsia="Times New Roman" w:cs="Arial"/>
                <w:b/>
                <w:bCs/>
                <w:color w:val="000000"/>
                <w:sz w:val="20"/>
                <w:szCs w:val="20"/>
                <w:lang w:eastAsia="en-GB"/>
              </w:rPr>
            </w:pPr>
            <w:r w:rsidRPr="0000102F">
              <w:rPr>
                <w:rFonts w:eastAsia="Times New Roman" w:cs="Arial"/>
                <w:b/>
                <w:bCs/>
                <w:color w:val="000000"/>
                <w:sz w:val="20"/>
                <w:szCs w:val="20"/>
                <w:lang w:eastAsia="en-GB"/>
              </w:rPr>
              <w:t>Transfer out/(in) 2023/24</w:t>
            </w:r>
          </w:p>
        </w:tc>
        <w:tc>
          <w:tcPr>
            <w:tcW w:w="1418" w:type="dxa"/>
            <w:hideMark/>
          </w:tcPr>
          <w:p w14:paraId="2F948F88" w14:textId="69C0B4C1" w:rsidR="00E453A8" w:rsidRPr="0000102F" w:rsidRDefault="00E453A8" w:rsidP="00341444">
            <w:pPr>
              <w:spacing w:line="276" w:lineRule="auto"/>
              <w:jc w:val="center"/>
              <w:rPr>
                <w:rFonts w:eastAsia="Times New Roman" w:cs="Arial"/>
                <w:b/>
                <w:bCs/>
                <w:color w:val="000000"/>
                <w:sz w:val="20"/>
                <w:szCs w:val="20"/>
                <w:lang w:eastAsia="en-GB"/>
              </w:rPr>
            </w:pPr>
            <w:r w:rsidRPr="0000102F">
              <w:rPr>
                <w:rFonts w:eastAsia="Times New Roman" w:cs="Arial"/>
                <w:b/>
                <w:bCs/>
                <w:color w:val="000000"/>
                <w:sz w:val="20"/>
                <w:szCs w:val="20"/>
                <w:lang w:eastAsia="en-GB"/>
              </w:rPr>
              <w:t>Projected Bala</w:t>
            </w:r>
            <w:commentRangeStart w:id="18"/>
            <w:commentRangeEnd w:id="18"/>
            <w:r w:rsidR="004C4036">
              <w:commentReference w:id="18"/>
            </w:r>
            <w:r w:rsidRPr="0000102F">
              <w:rPr>
                <w:rFonts w:eastAsia="Times New Roman" w:cs="Arial"/>
                <w:b/>
                <w:bCs/>
                <w:color w:val="000000"/>
                <w:sz w:val="20"/>
                <w:szCs w:val="20"/>
                <w:lang w:eastAsia="en-GB"/>
              </w:rPr>
              <w:t>nce March 2024</w:t>
            </w:r>
          </w:p>
        </w:tc>
      </w:tr>
      <w:tr w:rsidR="00E453A8" w:rsidRPr="00D15630" w14:paraId="604D2523" w14:textId="77777777" w:rsidTr="00610594">
        <w:trPr>
          <w:trHeight w:val="277"/>
        </w:trPr>
        <w:tc>
          <w:tcPr>
            <w:tcW w:w="2552" w:type="dxa"/>
            <w:noWrap/>
            <w:hideMark/>
          </w:tcPr>
          <w:p w14:paraId="1F5E55D8"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701" w:type="dxa"/>
            <w:noWrap/>
            <w:hideMark/>
          </w:tcPr>
          <w:p w14:paraId="01100F1F"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£000</w:t>
            </w:r>
          </w:p>
        </w:tc>
        <w:tc>
          <w:tcPr>
            <w:tcW w:w="1134" w:type="dxa"/>
            <w:noWrap/>
            <w:hideMark/>
          </w:tcPr>
          <w:p w14:paraId="6020CEF5"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£000</w:t>
            </w:r>
          </w:p>
        </w:tc>
        <w:tc>
          <w:tcPr>
            <w:tcW w:w="1559" w:type="dxa"/>
            <w:noWrap/>
            <w:hideMark/>
          </w:tcPr>
          <w:p w14:paraId="65B07DC5"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£000</w:t>
            </w:r>
          </w:p>
        </w:tc>
        <w:tc>
          <w:tcPr>
            <w:tcW w:w="1134" w:type="dxa"/>
            <w:noWrap/>
            <w:hideMark/>
          </w:tcPr>
          <w:p w14:paraId="3ED5E208"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£000</w:t>
            </w:r>
          </w:p>
        </w:tc>
        <w:tc>
          <w:tcPr>
            <w:tcW w:w="1418" w:type="dxa"/>
            <w:noWrap/>
            <w:hideMark/>
          </w:tcPr>
          <w:p w14:paraId="2E4D233A"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£000</w:t>
            </w:r>
          </w:p>
        </w:tc>
      </w:tr>
      <w:tr w:rsidR="00BA349C" w:rsidRPr="00BA349C" w14:paraId="459FD9CA" w14:textId="77777777" w:rsidTr="00610594">
        <w:trPr>
          <w:trHeight w:val="340"/>
        </w:trPr>
        <w:tc>
          <w:tcPr>
            <w:tcW w:w="2552" w:type="dxa"/>
            <w:noWrap/>
            <w:hideMark/>
          </w:tcPr>
          <w:p w14:paraId="0A968AFB" w14:textId="0AD24B7D" w:rsidR="00E453A8" w:rsidRPr="00BA349C" w:rsidRDefault="00E453A8" w:rsidP="00341444">
            <w:pPr>
              <w:spacing w:line="276" w:lineRule="auto"/>
              <w:rPr>
                <w:rFonts w:eastAsia="Times New Roman" w:cs="Arial"/>
                <w:color w:val="auto"/>
                <w:sz w:val="20"/>
                <w:szCs w:val="20"/>
                <w:lang w:eastAsia="en-GB"/>
              </w:rPr>
            </w:pPr>
            <w:r w:rsidRPr="00BA349C">
              <w:rPr>
                <w:rFonts w:eastAsia="Times New Roman" w:cs="Arial"/>
                <w:color w:val="auto"/>
                <w:sz w:val="20"/>
                <w:szCs w:val="20"/>
                <w:lang w:eastAsia="en-GB"/>
              </w:rPr>
              <w:t>General Reserve - GMFRS</w:t>
            </w:r>
          </w:p>
        </w:tc>
        <w:tc>
          <w:tcPr>
            <w:tcW w:w="1701" w:type="dxa"/>
            <w:noWrap/>
            <w:hideMark/>
          </w:tcPr>
          <w:p w14:paraId="4C5E7BCD" w14:textId="22256CF8"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-1</w:t>
            </w:r>
            <w:r w:rsidR="00964BC8" w:rsidRPr="00BA349C">
              <w:rPr>
                <w:rFonts w:eastAsia="Times New Roman" w:cs="Arial"/>
                <w:color w:val="auto"/>
                <w:sz w:val="20"/>
                <w:szCs w:val="20"/>
                <w:lang w:eastAsia="en-GB"/>
              </w:rPr>
              <w:t>1</w:t>
            </w:r>
            <w:r w:rsidRPr="00BA349C">
              <w:rPr>
                <w:rFonts w:eastAsia="Times New Roman" w:cs="Arial"/>
                <w:color w:val="auto"/>
                <w:sz w:val="20"/>
                <w:szCs w:val="20"/>
                <w:lang w:eastAsia="en-GB"/>
              </w:rPr>
              <w:t>,</w:t>
            </w:r>
            <w:r w:rsidR="00964BC8" w:rsidRPr="00BA349C">
              <w:rPr>
                <w:rFonts w:eastAsia="Times New Roman" w:cs="Arial"/>
                <w:color w:val="auto"/>
                <w:sz w:val="20"/>
                <w:szCs w:val="20"/>
                <w:lang w:eastAsia="en-GB"/>
              </w:rPr>
              <w:t>782</w:t>
            </w:r>
          </w:p>
        </w:tc>
        <w:tc>
          <w:tcPr>
            <w:tcW w:w="1134" w:type="dxa"/>
            <w:noWrap/>
            <w:hideMark/>
          </w:tcPr>
          <w:p w14:paraId="5FC03F49" w14:textId="77777777" w:rsidR="00E453A8" w:rsidRPr="00BA349C" w:rsidRDefault="00E453A8" w:rsidP="00341444">
            <w:pPr>
              <w:spacing w:line="276" w:lineRule="auto"/>
              <w:rPr>
                <w:rFonts w:eastAsia="Times New Roman" w:cs="Arial"/>
                <w:color w:val="auto"/>
                <w:sz w:val="20"/>
                <w:szCs w:val="20"/>
                <w:lang w:eastAsia="en-GB"/>
              </w:rPr>
            </w:pPr>
            <w:r w:rsidRPr="00BA349C">
              <w:rPr>
                <w:rFonts w:eastAsia="Times New Roman" w:cs="Arial"/>
                <w:color w:val="auto"/>
                <w:sz w:val="20"/>
                <w:szCs w:val="20"/>
                <w:lang w:eastAsia="en-GB"/>
              </w:rPr>
              <w:t> </w:t>
            </w:r>
          </w:p>
        </w:tc>
        <w:tc>
          <w:tcPr>
            <w:tcW w:w="1559" w:type="dxa"/>
            <w:noWrap/>
            <w:hideMark/>
          </w:tcPr>
          <w:p w14:paraId="6D48CF39" w14:textId="0B8E9541"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-1</w:t>
            </w:r>
            <w:r w:rsidR="00964BC8" w:rsidRPr="00BA349C">
              <w:rPr>
                <w:rFonts w:eastAsia="Times New Roman" w:cs="Arial"/>
                <w:color w:val="auto"/>
                <w:sz w:val="20"/>
                <w:szCs w:val="20"/>
                <w:lang w:eastAsia="en-GB"/>
              </w:rPr>
              <w:t>1</w:t>
            </w:r>
            <w:r w:rsidRPr="00BA349C">
              <w:rPr>
                <w:rFonts w:eastAsia="Times New Roman" w:cs="Arial"/>
                <w:color w:val="auto"/>
                <w:sz w:val="20"/>
                <w:szCs w:val="20"/>
                <w:lang w:eastAsia="en-GB"/>
              </w:rPr>
              <w:t>,</w:t>
            </w:r>
            <w:r w:rsidR="00964BC8" w:rsidRPr="00BA349C">
              <w:rPr>
                <w:rFonts w:eastAsia="Times New Roman" w:cs="Arial"/>
                <w:color w:val="auto"/>
                <w:sz w:val="20"/>
                <w:szCs w:val="20"/>
                <w:lang w:eastAsia="en-GB"/>
              </w:rPr>
              <w:t>782</w:t>
            </w:r>
          </w:p>
        </w:tc>
        <w:tc>
          <w:tcPr>
            <w:tcW w:w="1134" w:type="dxa"/>
            <w:noWrap/>
            <w:hideMark/>
          </w:tcPr>
          <w:p w14:paraId="1D42B9A4" w14:textId="77777777" w:rsidR="00E453A8" w:rsidRPr="00BA349C" w:rsidRDefault="00E453A8" w:rsidP="00341444">
            <w:pPr>
              <w:spacing w:line="276" w:lineRule="auto"/>
              <w:rPr>
                <w:rFonts w:eastAsia="Times New Roman" w:cs="Arial"/>
                <w:color w:val="auto"/>
                <w:sz w:val="20"/>
                <w:szCs w:val="20"/>
                <w:lang w:eastAsia="en-GB"/>
              </w:rPr>
            </w:pPr>
            <w:r w:rsidRPr="00BA349C">
              <w:rPr>
                <w:rFonts w:eastAsia="Times New Roman" w:cs="Arial"/>
                <w:color w:val="auto"/>
                <w:sz w:val="20"/>
                <w:szCs w:val="20"/>
                <w:lang w:eastAsia="en-GB"/>
              </w:rPr>
              <w:t> </w:t>
            </w:r>
          </w:p>
        </w:tc>
        <w:tc>
          <w:tcPr>
            <w:tcW w:w="1418" w:type="dxa"/>
            <w:noWrap/>
            <w:hideMark/>
          </w:tcPr>
          <w:p w14:paraId="23D88CD7" w14:textId="2ED10B6F"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-1</w:t>
            </w:r>
            <w:r w:rsidR="00E51395" w:rsidRPr="00BA349C">
              <w:rPr>
                <w:rFonts w:eastAsia="Times New Roman" w:cs="Arial"/>
                <w:color w:val="auto"/>
                <w:sz w:val="20"/>
                <w:szCs w:val="20"/>
                <w:lang w:eastAsia="en-GB"/>
              </w:rPr>
              <w:t>1,782</w:t>
            </w:r>
          </w:p>
        </w:tc>
      </w:tr>
      <w:tr w:rsidR="00E453A8" w:rsidRPr="00D15630" w14:paraId="494FFC25" w14:textId="77777777" w:rsidTr="00610594">
        <w:trPr>
          <w:trHeight w:val="340"/>
        </w:trPr>
        <w:tc>
          <w:tcPr>
            <w:tcW w:w="2552" w:type="dxa"/>
            <w:noWrap/>
            <w:hideMark/>
          </w:tcPr>
          <w:p w14:paraId="2072F160"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Capital Reserve</w:t>
            </w:r>
          </w:p>
        </w:tc>
        <w:tc>
          <w:tcPr>
            <w:tcW w:w="1701" w:type="dxa"/>
            <w:noWrap/>
            <w:hideMark/>
          </w:tcPr>
          <w:p w14:paraId="74A2C54A"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-9,615</w:t>
            </w:r>
          </w:p>
        </w:tc>
        <w:tc>
          <w:tcPr>
            <w:tcW w:w="1134" w:type="dxa"/>
            <w:noWrap/>
            <w:hideMark/>
          </w:tcPr>
          <w:p w14:paraId="2377AAC9"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-5,245</w:t>
            </w:r>
          </w:p>
        </w:tc>
        <w:tc>
          <w:tcPr>
            <w:tcW w:w="1559" w:type="dxa"/>
            <w:noWrap/>
            <w:hideMark/>
          </w:tcPr>
          <w:p w14:paraId="40DFA115"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-14,860</w:t>
            </w:r>
          </w:p>
        </w:tc>
        <w:tc>
          <w:tcPr>
            <w:tcW w:w="1134" w:type="dxa"/>
            <w:noWrap/>
            <w:hideMark/>
          </w:tcPr>
          <w:p w14:paraId="5E338815" w14:textId="420CDF31"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w:t>
            </w:r>
            <w:r w:rsidR="00131EE6">
              <w:rPr>
                <w:rFonts w:eastAsia="Times New Roman" w:cs="Arial"/>
                <w:color w:val="000000"/>
                <w:sz w:val="20"/>
                <w:szCs w:val="20"/>
                <w:lang w:eastAsia="en-GB"/>
              </w:rPr>
              <w:t>2</w:t>
            </w:r>
            <w:r w:rsidRPr="00D15630">
              <w:rPr>
                <w:rFonts w:eastAsia="Times New Roman" w:cs="Arial"/>
                <w:color w:val="000000"/>
                <w:sz w:val="20"/>
                <w:szCs w:val="20"/>
                <w:lang w:eastAsia="en-GB"/>
              </w:rPr>
              <w:t>,</w:t>
            </w:r>
            <w:r w:rsidR="00131EE6">
              <w:rPr>
                <w:rFonts w:eastAsia="Times New Roman" w:cs="Arial"/>
                <w:color w:val="000000"/>
                <w:sz w:val="20"/>
                <w:szCs w:val="20"/>
                <w:lang w:eastAsia="en-GB"/>
              </w:rPr>
              <w:t>637</w:t>
            </w:r>
          </w:p>
        </w:tc>
        <w:tc>
          <w:tcPr>
            <w:tcW w:w="1418" w:type="dxa"/>
            <w:noWrap/>
            <w:hideMark/>
          </w:tcPr>
          <w:p w14:paraId="79F86538" w14:textId="37D5F87D"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w:t>
            </w:r>
            <w:r w:rsidR="00802C78">
              <w:rPr>
                <w:rFonts w:eastAsia="Times New Roman" w:cs="Arial"/>
                <w:color w:val="000000"/>
                <w:sz w:val="20"/>
                <w:szCs w:val="20"/>
                <w:lang w:eastAsia="en-GB"/>
              </w:rPr>
              <w:t>7</w:t>
            </w:r>
            <w:r w:rsidRPr="00D15630">
              <w:rPr>
                <w:rFonts w:eastAsia="Times New Roman" w:cs="Arial"/>
                <w:color w:val="000000"/>
                <w:sz w:val="20"/>
                <w:szCs w:val="20"/>
                <w:lang w:eastAsia="en-GB"/>
              </w:rPr>
              <w:t>,</w:t>
            </w:r>
            <w:r w:rsidR="00802C78">
              <w:rPr>
                <w:rFonts w:eastAsia="Times New Roman" w:cs="Arial"/>
                <w:color w:val="000000"/>
                <w:sz w:val="20"/>
                <w:szCs w:val="20"/>
                <w:lang w:eastAsia="en-GB"/>
              </w:rPr>
              <w:t>497</w:t>
            </w:r>
          </w:p>
        </w:tc>
      </w:tr>
      <w:tr w:rsidR="00E453A8" w:rsidRPr="00D15630" w14:paraId="606628F5" w14:textId="77777777" w:rsidTr="00610594">
        <w:trPr>
          <w:trHeight w:val="340"/>
        </w:trPr>
        <w:tc>
          <w:tcPr>
            <w:tcW w:w="2552" w:type="dxa"/>
            <w:noWrap/>
            <w:hideMark/>
          </w:tcPr>
          <w:p w14:paraId="1C88F960"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Capital Grants Unapplied</w:t>
            </w:r>
          </w:p>
        </w:tc>
        <w:tc>
          <w:tcPr>
            <w:tcW w:w="1701" w:type="dxa"/>
            <w:noWrap/>
            <w:hideMark/>
          </w:tcPr>
          <w:p w14:paraId="4DD39ADC"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-299</w:t>
            </w:r>
          </w:p>
        </w:tc>
        <w:tc>
          <w:tcPr>
            <w:tcW w:w="1134" w:type="dxa"/>
            <w:noWrap/>
            <w:hideMark/>
          </w:tcPr>
          <w:p w14:paraId="49E8D299"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0</w:t>
            </w:r>
          </w:p>
        </w:tc>
        <w:tc>
          <w:tcPr>
            <w:tcW w:w="1559" w:type="dxa"/>
            <w:noWrap/>
            <w:hideMark/>
          </w:tcPr>
          <w:p w14:paraId="03E407E9"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-299</w:t>
            </w:r>
          </w:p>
        </w:tc>
        <w:tc>
          <w:tcPr>
            <w:tcW w:w="1134" w:type="dxa"/>
            <w:noWrap/>
            <w:hideMark/>
          </w:tcPr>
          <w:p w14:paraId="5E101E54"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2B686E8F"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-299</w:t>
            </w:r>
          </w:p>
        </w:tc>
      </w:tr>
      <w:tr w:rsidR="00BA349C" w:rsidRPr="00BA349C" w14:paraId="0B5ECC5B" w14:textId="77777777" w:rsidTr="00610594">
        <w:trPr>
          <w:trHeight w:val="340"/>
        </w:trPr>
        <w:tc>
          <w:tcPr>
            <w:tcW w:w="2552" w:type="dxa"/>
            <w:noWrap/>
            <w:hideMark/>
          </w:tcPr>
          <w:p w14:paraId="4A3E2402" w14:textId="77777777" w:rsidR="00E453A8" w:rsidRPr="00BA349C" w:rsidRDefault="00E453A8" w:rsidP="00341444">
            <w:pPr>
              <w:spacing w:line="276" w:lineRule="auto"/>
              <w:rPr>
                <w:rFonts w:eastAsia="Times New Roman" w:cs="Arial"/>
                <w:color w:val="auto"/>
                <w:sz w:val="20"/>
                <w:szCs w:val="20"/>
                <w:lang w:eastAsia="en-GB"/>
              </w:rPr>
            </w:pPr>
            <w:r w:rsidRPr="00BA349C">
              <w:rPr>
                <w:rFonts w:eastAsia="Times New Roman" w:cs="Arial"/>
                <w:color w:val="auto"/>
                <w:sz w:val="20"/>
                <w:szCs w:val="20"/>
                <w:lang w:eastAsia="en-GB"/>
              </w:rPr>
              <w:t>Earmarked Budgets Reserve</w:t>
            </w:r>
          </w:p>
        </w:tc>
        <w:tc>
          <w:tcPr>
            <w:tcW w:w="1701" w:type="dxa"/>
            <w:noWrap/>
            <w:hideMark/>
          </w:tcPr>
          <w:p w14:paraId="4CF834DF" w14:textId="157B4DDA"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-2,</w:t>
            </w:r>
            <w:r w:rsidR="00E51395" w:rsidRPr="00BA349C">
              <w:rPr>
                <w:rFonts w:eastAsia="Times New Roman" w:cs="Arial"/>
                <w:color w:val="auto"/>
                <w:sz w:val="20"/>
                <w:szCs w:val="20"/>
                <w:lang w:eastAsia="en-GB"/>
              </w:rPr>
              <w:t>025</w:t>
            </w:r>
          </w:p>
        </w:tc>
        <w:tc>
          <w:tcPr>
            <w:tcW w:w="1134" w:type="dxa"/>
            <w:noWrap/>
            <w:hideMark/>
          </w:tcPr>
          <w:p w14:paraId="6911282D"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146</w:t>
            </w:r>
          </w:p>
        </w:tc>
        <w:tc>
          <w:tcPr>
            <w:tcW w:w="1559" w:type="dxa"/>
            <w:noWrap/>
            <w:hideMark/>
          </w:tcPr>
          <w:p w14:paraId="523F2608" w14:textId="1CA5CD1C"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w:t>
            </w:r>
            <w:r w:rsidR="00E51395" w:rsidRPr="00BA349C">
              <w:rPr>
                <w:rFonts w:eastAsia="Times New Roman" w:cs="Arial"/>
                <w:color w:val="auto"/>
                <w:sz w:val="20"/>
                <w:szCs w:val="20"/>
                <w:lang w:eastAsia="en-GB"/>
              </w:rPr>
              <w:t>1</w:t>
            </w:r>
            <w:r w:rsidRPr="00BA349C">
              <w:rPr>
                <w:rFonts w:eastAsia="Times New Roman" w:cs="Arial"/>
                <w:color w:val="auto"/>
                <w:sz w:val="20"/>
                <w:szCs w:val="20"/>
                <w:lang w:eastAsia="en-GB"/>
              </w:rPr>
              <w:t>,</w:t>
            </w:r>
            <w:r w:rsidR="00E51395" w:rsidRPr="00BA349C">
              <w:rPr>
                <w:rFonts w:eastAsia="Times New Roman" w:cs="Arial"/>
                <w:color w:val="auto"/>
                <w:sz w:val="20"/>
                <w:szCs w:val="20"/>
                <w:lang w:eastAsia="en-GB"/>
              </w:rPr>
              <w:t>879</w:t>
            </w:r>
          </w:p>
        </w:tc>
        <w:tc>
          <w:tcPr>
            <w:tcW w:w="1134" w:type="dxa"/>
            <w:noWrap/>
            <w:hideMark/>
          </w:tcPr>
          <w:p w14:paraId="5BA2D905"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122</w:t>
            </w:r>
          </w:p>
        </w:tc>
        <w:tc>
          <w:tcPr>
            <w:tcW w:w="1418" w:type="dxa"/>
            <w:noWrap/>
            <w:hideMark/>
          </w:tcPr>
          <w:p w14:paraId="116C8609" w14:textId="02CB2B34"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w:t>
            </w:r>
            <w:r w:rsidR="00E51395" w:rsidRPr="00BA349C">
              <w:rPr>
                <w:rFonts w:eastAsia="Times New Roman" w:cs="Arial"/>
                <w:color w:val="auto"/>
                <w:sz w:val="20"/>
                <w:szCs w:val="20"/>
                <w:lang w:eastAsia="en-GB"/>
              </w:rPr>
              <w:t>1</w:t>
            </w:r>
            <w:r w:rsidRPr="00BA349C">
              <w:rPr>
                <w:rFonts w:eastAsia="Times New Roman" w:cs="Arial"/>
                <w:color w:val="auto"/>
                <w:sz w:val="20"/>
                <w:szCs w:val="20"/>
                <w:lang w:eastAsia="en-GB"/>
              </w:rPr>
              <w:t>,</w:t>
            </w:r>
            <w:r w:rsidR="00131EE6" w:rsidRPr="00BA349C">
              <w:rPr>
                <w:rFonts w:eastAsia="Times New Roman" w:cs="Arial"/>
                <w:color w:val="auto"/>
                <w:sz w:val="20"/>
                <w:szCs w:val="20"/>
                <w:lang w:eastAsia="en-GB"/>
              </w:rPr>
              <w:t>757</w:t>
            </w:r>
          </w:p>
        </w:tc>
      </w:tr>
      <w:tr w:rsidR="00BA349C" w:rsidRPr="00BA349C" w14:paraId="53CCE718" w14:textId="77777777" w:rsidTr="00610594">
        <w:trPr>
          <w:trHeight w:val="340"/>
        </w:trPr>
        <w:tc>
          <w:tcPr>
            <w:tcW w:w="2552" w:type="dxa"/>
            <w:noWrap/>
            <w:hideMark/>
          </w:tcPr>
          <w:p w14:paraId="4ED284AB" w14:textId="77777777" w:rsidR="00E453A8" w:rsidRPr="00BA349C" w:rsidRDefault="00E453A8" w:rsidP="00341444">
            <w:pPr>
              <w:spacing w:line="276" w:lineRule="auto"/>
              <w:rPr>
                <w:rFonts w:eastAsia="Times New Roman" w:cs="Arial"/>
                <w:color w:val="auto"/>
                <w:sz w:val="20"/>
                <w:szCs w:val="20"/>
                <w:lang w:eastAsia="en-GB"/>
              </w:rPr>
            </w:pPr>
            <w:r w:rsidRPr="00BA349C">
              <w:rPr>
                <w:rFonts w:eastAsia="Times New Roman" w:cs="Arial"/>
                <w:color w:val="auto"/>
                <w:sz w:val="20"/>
                <w:szCs w:val="20"/>
                <w:lang w:eastAsia="en-GB"/>
              </w:rPr>
              <w:t>Revenue Grants Unapplied</w:t>
            </w:r>
          </w:p>
        </w:tc>
        <w:tc>
          <w:tcPr>
            <w:tcW w:w="1701" w:type="dxa"/>
            <w:noWrap/>
            <w:hideMark/>
          </w:tcPr>
          <w:p w14:paraId="7D386424"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-6,228</w:t>
            </w:r>
          </w:p>
        </w:tc>
        <w:tc>
          <w:tcPr>
            <w:tcW w:w="1134" w:type="dxa"/>
            <w:noWrap/>
            <w:hideMark/>
          </w:tcPr>
          <w:p w14:paraId="7766B8FA"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3,257</w:t>
            </w:r>
          </w:p>
        </w:tc>
        <w:tc>
          <w:tcPr>
            <w:tcW w:w="1559" w:type="dxa"/>
            <w:noWrap/>
            <w:hideMark/>
          </w:tcPr>
          <w:p w14:paraId="3AD3516C"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-2,971</w:t>
            </w:r>
          </w:p>
        </w:tc>
        <w:tc>
          <w:tcPr>
            <w:tcW w:w="1134" w:type="dxa"/>
            <w:noWrap/>
            <w:hideMark/>
          </w:tcPr>
          <w:p w14:paraId="57E766C9"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700</w:t>
            </w:r>
          </w:p>
        </w:tc>
        <w:tc>
          <w:tcPr>
            <w:tcW w:w="1418" w:type="dxa"/>
            <w:noWrap/>
            <w:hideMark/>
          </w:tcPr>
          <w:p w14:paraId="635F22F4" w14:textId="77777777" w:rsidR="00E453A8" w:rsidRPr="00BA349C" w:rsidRDefault="00E453A8" w:rsidP="00341444">
            <w:pPr>
              <w:spacing w:line="276" w:lineRule="auto"/>
              <w:jc w:val="right"/>
              <w:rPr>
                <w:rFonts w:eastAsia="Times New Roman" w:cs="Arial"/>
                <w:color w:val="auto"/>
                <w:sz w:val="20"/>
                <w:szCs w:val="20"/>
                <w:lang w:eastAsia="en-GB"/>
              </w:rPr>
            </w:pPr>
            <w:r w:rsidRPr="00BA349C">
              <w:rPr>
                <w:rFonts w:eastAsia="Times New Roman" w:cs="Arial"/>
                <w:color w:val="auto"/>
                <w:sz w:val="20"/>
                <w:szCs w:val="20"/>
                <w:lang w:eastAsia="en-GB"/>
              </w:rPr>
              <w:t>-2,271</w:t>
            </w:r>
          </w:p>
        </w:tc>
      </w:tr>
      <w:tr w:rsidR="00E453A8" w:rsidRPr="00D15630" w14:paraId="57C92A56" w14:textId="77777777" w:rsidTr="00610594">
        <w:trPr>
          <w:trHeight w:val="340"/>
        </w:trPr>
        <w:tc>
          <w:tcPr>
            <w:tcW w:w="2552" w:type="dxa"/>
            <w:noWrap/>
            <w:hideMark/>
          </w:tcPr>
          <w:p w14:paraId="76CA789B"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Insurance Reserve</w:t>
            </w:r>
          </w:p>
        </w:tc>
        <w:tc>
          <w:tcPr>
            <w:tcW w:w="1701" w:type="dxa"/>
            <w:noWrap/>
            <w:hideMark/>
          </w:tcPr>
          <w:p w14:paraId="5081B9EF"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-2,849</w:t>
            </w:r>
          </w:p>
        </w:tc>
        <w:tc>
          <w:tcPr>
            <w:tcW w:w="1134" w:type="dxa"/>
            <w:noWrap/>
            <w:hideMark/>
          </w:tcPr>
          <w:p w14:paraId="1BC6E7C2"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559" w:type="dxa"/>
            <w:noWrap/>
            <w:hideMark/>
          </w:tcPr>
          <w:p w14:paraId="38B5C077"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-2,849</w:t>
            </w:r>
          </w:p>
        </w:tc>
        <w:tc>
          <w:tcPr>
            <w:tcW w:w="1134" w:type="dxa"/>
            <w:noWrap/>
            <w:hideMark/>
          </w:tcPr>
          <w:p w14:paraId="2FA5578B"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751C3FD1"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-2,849</w:t>
            </w:r>
          </w:p>
        </w:tc>
      </w:tr>
      <w:tr w:rsidR="00E453A8" w:rsidRPr="00D15630" w14:paraId="409A3357" w14:textId="77777777" w:rsidTr="00610594">
        <w:trPr>
          <w:trHeight w:val="340"/>
        </w:trPr>
        <w:tc>
          <w:tcPr>
            <w:tcW w:w="2552" w:type="dxa"/>
            <w:noWrap/>
            <w:hideMark/>
          </w:tcPr>
          <w:p w14:paraId="5B6A175B"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Business Rates Reserve</w:t>
            </w:r>
          </w:p>
        </w:tc>
        <w:tc>
          <w:tcPr>
            <w:tcW w:w="1701" w:type="dxa"/>
            <w:noWrap/>
            <w:hideMark/>
          </w:tcPr>
          <w:p w14:paraId="100EF067"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-1,414</w:t>
            </w:r>
          </w:p>
        </w:tc>
        <w:tc>
          <w:tcPr>
            <w:tcW w:w="1134" w:type="dxa"/>
            <w:noWrap/>
            <w:hideMark/>
          </w:tcPr>
          <w:p w14:paraId="282959F0"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559" w:type="dxa"/>
            <w:noWrap/>
            <w:hideMark/>
          </w:tcPr>
          <w:p w14:paraId="556C20B5"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-1,414</w:t>
            </w:r>
          </w:p>
        </w:tc>
        <w:tc>
          <w:tcPr>
            <w:tcW w:w="1134" w:type="dxa"/>
            <w:noWrap/>
            <w:hideMark/>
          </w:tcPr>
          <w:p w14:paraId="302F9566"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2C833522"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-1,414</w:t>
            </w:r>
          </w:p>
        </w:tc>
      </w:tr>
      <w:tr w:rsidR="00E453A8" w:rsidRPr="00D15630" w14:paraId="4AA2B0A4" w14:textId="77777777" w:rsidTr="00610594">
        <w:trPr>
          <w:trHeight w:val="340"/>
        </w:trPr>
        <w:tc>
          <w:tcPr>
            <w:tcW w:w="2552" w:type="dxa"/>
            <w:noWrap/>
            <w:hideMark/>
          </w:tcPr>
          <w:p w14:paraId="76B07036"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Restructuring Reserve</w:t>
            </w:r>
          </w:p>
        </w:tc>
        <w:tc>
          <w:tcPr>
            <w:tcW w:w="1701" w:type="dxa"/>
            <w:noWrap/>
            <w:hideMark/>
          </w:tcPr>
          <w:p w14:paraId="69CDBF20"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-418</w:t>
            </w:r>
          </w:p>
        </w:tc>
        <w:tc>
          <w:tcPr>
            <w:tcW w:w="1134" w:type="dxa"/>
            <w:noWrap/>
            <w:hideMark/>
          </w:tcPr>
          <w:p w14:paraId="152A240A"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559" w:type="dxa"/>
            <w:noWrap/>
            <w:hideMark/>
          </w:tcPr>
          <w:p w14:paraId="0CB55F50"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-418</w:t>
            </w:r>
          </w:p>
        </w:tc>
        <w:tc>
          <w:tcPr>
            <w:tcW w:w="1134" w:type="dxa"/>
            <w:noWrap/>
            <w:hideMark/>
          </w:tcPr>
          <w:p w14:paraId="25164513"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6264A88A"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-418</w:t>
            </w:r>
          </w:p>
        </w:tc>
      </w:tr>
      <w:tr w:rsidR="00E453A8" w:rsidRPr="00D15630" w14:paraId="57E6564E" w14:textId="77777777" w:rsidTr="00610594">
        <w:trPr>
          <w:trHeight w:val="340"/>
        </w:trPr>
        <w:tc>
          <w:tcPr>
            <w:tcW w:w="2552" w:type="dxa"/>
            <w:noWrap/>
            <w:hideMark/>
          </w:tcPr>
          <w:p w14:paraId="5E5F5CBE"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Innovation and Partnership CYP</w:t>
            </w:r>
          </w:p>
        </w:tc>
        <w:tc>
          <w:tcPr>
            <w:tcW w:w="1701" w:type="dxa"/>
            <w:noWrap/>
            <w:hideMark/>
          </w:tcPr>
          <w:p w14:paraId="0B75C4B6"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-127</w:t>
            </w:r>
          </w:p>
        </w:tc>
        <w:tc>
          <w:tcPr>
            <w:tcW w:w="1134" w:type="dxa"/>
            <w:noWrap/>
            <w:hideMark/>
          </w:tcPr>
          <w:p w14:paraId="40082BDF"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559" w:type="dxa"/>
            <w:noWrap/>
            <w:hideMark/>
          </w:tcPr>
          <w:p w14:paraId="1487D4DE"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-127</w:t>
            </w:r>
          </w:p>
        </w:tc>
        <w:tc>
          <w:tcPr>
            <w:tcW w:w="1134" w:type="dxa"/>
            <w:noWrap/>
            <w:hideMark/>
          </w:tcPr>
          <w:p w14:paraId="39FE0DBC"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6261AAE7"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-127</w:t>
            </w:r>
          </w:p>
        </w:tc>
      </w:tr>
      <w:tr w:rsidR="00E453A8" w:rsidRPr="00D15630" w14:paraId="44FA2406" w14:textId="77777777" w:rsidTr="00610594">
        <w:trPr>
          <w:trHeight w:val="340"/>
        </w:trPr>
        <w:tc>
          <w:tcPr>
            <w:tcW w:w="2552" w:type="dxa"/>
            <w:noWrap/>
            <w:hideMark/>
          </w:tcPr>
          <w:p w14:paraId="3A89C7E0"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Transformation Fund</w:t>
            </w:r>
          </w:p>
        </w:tc>
        <w:tc>
          <w:tcPr>
            <w:tcW w:w="1701" w:type="dxa"/>
            <w:noWrap/>
            <w:hideMark/>
          </w:tcPr>
          <w:p w14:paraId="52C5B889"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-3,604</w:t>
            </w:r>
          </w:p>
        </w:tc>
        <w:tc>
          <w:tcPr>
            <w:tcW w:w="1134" w:type="dxa"/>
            <w:noWrap/>
            <w:hideMark/>
          </w:tcPr>
          <w:p w14:paraId="064549A6"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559" w:type="dxa"/>
            <w:noWrap/>
            <w:hideMark/>
          </w:tcPr>
          <w:p w14:paraId="2B270BAB"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-3,604</w:t>
            </w:r>
          </w:p>
        </w:tc>
        <w:tc>
          <w:tcPr>
            <w:tcW w:w="1134" w:type="dxa"/>
            <w:noWrap/>
            <w:hideMark/>
          </w:tcPr>
          <w:p w14:paraId="13F778F7" w14:textId="77777777" w:rsidR="00E453A8" w:rsidRPr="00D15630" w:rsidRDefault="00E453A8" w:rsidP="00341444">
            <w:pPr>
              <w:spacing w:line="276" w:lineRule="auto"/>
              <w:rPr>
                <w:rFonts w:eastAsia="Times New Roman" w:cs="Arial"/>
                <w:color w:val="000000"/>
                <w:sz w:val="20"/>
                <w:szCs w:val="20"/>
                <w:lang w:eastAsia="en-GB"/>
              </w:rPr>
            </w:pPr>
            <w:r w:rsidRPr="00D15630">
              <w:rPr>
                <w:rFonts w:eastAsia="Times New Roman" w:cs="Arial"/>
                <w:color w:val="000000"/>
                <w:sz w:val="20"/>
                <w:szCs w:val="20"/>
                <w:lang w:eastAsia="en-GB"/>
              </w:rPr>
              <w:t> </w:t>
            </w:r>
          </w:p>
        </w:tc>
        <w:tc>
          <w:tcPr>
            <w:tcW w:w="1418" w:type="dxa"/>
            <w:noWrap/>
            <w:hideMark/>
          </w:tcPr>
          <w:p w14:paraId="17E8470B" w14:textId="77777777" w:rsidR="00E453A8" w:rsidRPr="00D15630" w:rsidRDefault="00E453A8" w:rsidP="00341444">
            <w:pPr>
              <w:spacing w:line="276" w:lineRule="auto"/>
              <w:jc w:val="right"/>
              <w:rPr>
                <w:rFonts w:eastAsia="Times New Roman" w:cs="Arial"/>
                <w:color w:val="000000"/>
                <w:sz w:val="20"/>
                <w:szCs w:val="20"/>
                <w:lang w:eastAsia="en-GB"/>
              </w:rPr>
            </w:pPr>
            <w:r w:rsidRPr="00D15630">
              <w:rPr>
                <w:rFonts w:eastAsia="Times New Roman" w:cs="Arial"/>
                <w:color w:val="000000"/>
                <w:sz w:val="20"/>
                <w:szCs w:val="20"/>
                <w:lang w:eastAsia="en-GB"/>
              </w:rPr>
              <w:t>-3,604</w:t>
            </w:r>
          </w:p>
        </w:tc>
      </w:tr>
      <w:tr w:rsidR="00E453A8" w:rsidRPr="00D15630" w14:paraId="0ED874CC" w14:textId="77777777" w:rsidTr="00610594">
        <w:trPr>
          <w:trHeight w:val="340"/>
        </w:trPr>
        <w:tc>
          <w:tcPr>
            <w:tcW w:w="2552" w:type="dxa"/>
            <w:noWrap/>
            <w:hideMark/>
          </w:tcPr>
          <w:p w14:paraId="4B44C868" w14:textId="77777777" w:rsidR="00E453A8" w:rsidRPr="00D15630" w:rsidRDefault="00E453A8" w:rsidP="00341444">
            <w:pPr>
              <w:spacing w:line="276" w:lineRule="auto"/>
              <w:rPr>
                <w:rFonts w:eastAsia="Times New Roman" w:cs="Arial"/>
                <w:b/>
                <w:bCs/>
                <w:color w:val="000000"/>
                <w:sz w:val="20"/>
                <w:szCs w:val="20"/>
                <w:lang w:eastAsia="en-GB"/>
              </w:rPr>
            </w:pPr>
            <w:r w:rsidRPr="00D15630">
              <w:rPr>
                <w:rFonts w:eastAsia="Times New Roman" w:cs="Arial"/>
                <w:b/>
                <w:bCs/>
                <w:color w:val="000000"/>
                <w:sz w:val="20"/>
                <w:szCs w:val="20"/>
                <w:lang w:eastAsia="en-GB"/>
              </w:rPr>
              <w:lastRenderedPageBreak/>
              <w:t>Total GMFRS Reserves</w:t>
            </w:r>
          </w:p>
        </w:tc>
        <w:tc>
          <w:tcPr>
            <w:tcW w:w="1701" w:type="dxa"/>
            <w:noWrap/>
          </w:tcPr>
          <w:p w14:paraId="28C90989" w14:textId="1CC1BBB0" w:rsidR="00E453A8" w:rsidRPr="00D15630" w:rsidRDefault="00E453A8" w:rsidP="00341444">
            <w:pPr>
              <w:spacing w:line="276"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-3</w:t>
            </w:r>
            <w:r w:rsidR="00131EE6">
              <w:rPr>
                <w:rFonts w:eastAsia="Times New Roman" w:cs="Arial"/>
                <w:b/>
                <w:bCs/>
                <w:color w:val="000000"/>
                <w:sz w:val="20"/>
                <w:szCs w:val="20"/>
                <w:lang w:eastAsia="en-GB"/>
              </w:rPr>
              <w:t>8</w:t>
            </w:r>
            <w:r>
              <w:rPr>
                <w:rFonts w:eastAsia="Times New Roman" w:cs="Arial"/>
                <w:b/>
                <w:bCs/>
                <w:color w:val="000000"/>
                <w:sz w:val="20"/>
                <w:szCs w:val="20"/>
                <w:lang w:eastAsia="en-GB"/>
              </w:rPr>
              <w:t>,</w:t>
            </w:r>
            <w:r w:rsidR="00131EE6">
              <w:rPr>
                <w:rFonts w:eastAsia="Times New Roman" w:cs="Arial"/>
                <w:b/>
                <w:bCs/>
                <w:color w:val="000000"/>
                <w:sz w:val="20"/>
                <w:szCs w:val="20"/>
                <w:lang w:eastAsia="en-GB"/>
              </w:rPr>
              <w:t>361</w:t>
            </w:r>
          </w:p>
        </w:tc>
        <w:tc>
          <w:tcPr>
            <w:tcW w:w="1134" w:type="dxa"/>
            <w:noWrap/>
          </w:tcPr>
          <w:p w14:paraId="437F98BF" w14:textId="77777777" w:rsidR="00E453A8" w:rsidRPr="00D15630" w:rsidRDefault="00E453A8" w:rsidP="00341444">
            <w:pPr>
              <w:spacing w:line="276"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-1,842</w:t>
            </w:r>
          </w:p>
        </w:tc>
        <w:tc>
          <w:tcPr>
            <w:tcW w:w="1559" w:type="dxa"/>
            <w:noWrap/>
          </w:tcPr>
          <w:p w14:paraId="1113B846" w14:textId="37A27D3B" w:rsidR="00E453A8" w:rsidRPr="00D15630" w:rsidRDefault="00E453A8" w:rsidP="00341444">
            <w:pPr>
              <w:spacing w:line="276"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-4</w:t>
            </w:r>
            <w:r w:rsidR="00131EE6">
              <w:rPr>
                <w:rFonts w:eastAsia="Times New Roman" w:cs="Arial"/>
                <w:b/>
                <w:bCs/>
                <w:color w:val="000000"/>
                <w:sz w:val="20"/>
                <w:szCs w:val="20"/>
                <w:lang w:eastAsia="en-GB"/>
              </w:rPr>
              <w:t>0</w:t>
            </w:r>
            <w:r>
              <w:rPr>
                <w:rFonts w:eastAsia="Times New Roman" w:cs="Arial"/>
                <w:b/>
                <w:bCs/>
                <w:color w:val="000000"/>
                <w:sz w:val="20"/>
                <w:szCs w:val="20"/>
                <w:lang w:eastAsia="en-GB"/>
              </w:rPr>
              <w:t>,</w:t>
            </w:r>
            <w:r w:rsidR="00131EE6">
              <w:rPr>
                <w:rFonts w:eastAsia="Times New Roman" w:cs="Arial"/>
                <w:b/>
                <w:bCs/>
                <w:color w:val="000000"/>
                <w:sz w:val="20"/>
                <w:szCs w:val="20"/>
                <w:lang w:eastAsia="en-GB"/>
              </w:rPr>
              <w:t>203</w:t>
            </w:r>
          </w:p>
        </w:tc>
        <w:tc>
          <w:tcPr>
            <w:tcW w:w="1134" w:type="dxa"/>
            <w:noWrap/>
          </w:tcPr>
          <w:p w14:paraId="3C910396" w14:textId="1A60F212" w:rsidR="00E453A8" w:rsidRPr="00D15630" w:rsidRDefault="00E453A8" w:rsidP="00341444">
            <w:pPr>
              <w:spacing w:line="276"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w:t>
            </w:r>
            <w:r w:rsidR="00131EE6">
              <w:rPr>
                <w:rFonts w:eastAsia="Times New Roman" w:cs="Arial"/>
                <w:b/>
                <w:bCs/>
                <w:color w:val="000000"/>
                <w:sz w:val="20"/>
                <w:szCs w:val="20"/>
                <w:lang w:eastAsia="en-GB"/>
              </w:rPr>
              <w:t>1,815</w:t>
            </w:r>
          </w:p>
        </w:tc>
        <w:tc>
          <w:tcPr>
            <w:tcW w:w="1418" w:type="dxa"/>
            <w:noWrap/>
          </w:tcPr>
          <w:p w14:paraId="22436723" w14:textId="4E7E6066" w:rsidR="00E453A8" w:rsidRPr="00D15630" w:rsidRDefault="00E453A8" w:rsidP="00341444">
            <w:pPr>
              <w:spacing w:line="276" w:lineRule="auto"/>
              <w:jc w:val="right"/>
              <w:rPr>
                <w:rFonts w:eastAsia="Times New Roman" w:cs="Arial"/>
                <w:b/>
                <w:bCs/>
                <w:color w:val="000000"/>
                <w:sz w:val="20"/>
                <w:szCs w:val="20"/>
                <w:lang w:eastAsia="en-GB"/>
              </w:rPr>
            </w:pPr>
            <w:r>
              <w:rPr>
                <w:rFonts w:eastAsia="Times New Roman" w:cs="Arial"/>
                <w:b/>
                <w:bCs/>
                <w:color w:val="000000"/>
                <w:sz w:val="20"/>
                <w:szCs w:val="20"/>
                <w:lang w:eastAsia="en-GB"/>
              </w:rPr>
              <w:t>-42,0</w:t>
            </w:r>
            <w:r w:rsidR="00131EE6">
              <w:rPr>
                <w:rFonts w:eastAsia="Times New Roman" w:cs="Arial"/>
                <w:b/>
                <w:bCs/>
                <w:color w:val="000000"/>
                <w:sz w:val="20"/>
                <w:szCs w:val="20"/>
                <w:lang w:eastAsia="en-GB"/>
              </w:rPr>
              <w:t>18</w:t>
            </w:r>
          </w:p>
        </w:tc>
      </w:tr>
    </w:tbl>
    <w:p w14:paraId="394FB896" w14:textId="684C6C63" w:rsidR="00A90E57" w:rsidRPr="00014312" w:rsidRDefault="00A90E57" w:rsidP="00D718C0">
      <w:pPr>
        <w:rPr>
          <w:sz w:val="4"/>
          <w:szCs w:val="4"/>
        </w:rPr>
      </w:pPr>
    </w:p>
    <w:p w14:paraId="794F11B0" w14:textId="0AA1F297" w:rsidR="00B3132C" w:rsidRPr="00E32EA5" w:rsidRDefault="00B3132C" w:rsidP="00E32EA5">
      <w:pPr>
        <w:contextualSpacing/>
        <w:jc w:val="both"/>
        <w:rPr>
          <w:rFonts w:cs="Arial"/>
        </w:rPr>
      </w:pPr>
      <w:r w:rsidRPr="00E32EA5">
        <w:rPr>
          <w:rFonts w:cs="Arial"/>
        </w:rPr>
        <w:t xml:space="preserve">The current General Fund Reserve balance </w:t>
      </w:r>
      <w:r w:rsidRPr="00626FED">
        <w:rPr>
          <w:rFonts w:cs="Arial"/>
          <w:color w:val="auto"/>
        </w:rPr>
        <w:t>stands at £1</w:t>
      </w:r>
      <w:r w:rsidR="00626FED" w:rsidRPr="00626FED">
        <w:rPr>
          <w:rFonts w:cs="Arial"/>
          <w:color w:val="auto"/>
        </w:rPr>
        <w:t>1</w:t>
      </w:r>
      <w:r w:rsidRPr="00626FED">
        <w:rPr>
          <w:rFonts w:cs="Arial"/>
          <w:color w:val="auto"/>
        </w:rPr>
        <w:t>.</w:t>
      </w:r>
      <w:r w:rsidR="00626FED" w:rsidRPr="00626FED">
        <w:rPr>
          <w:rFonts w:cs="Arial"/>
          <w:color w:val="auto"/>
        </w:rPr>
        <w:t>782</w:t>
      </w:r>
      <w:r w:rsidRPr="00626FED">
        <w:rPr>
          <w:rFonts w:cs="Arial"/>
          <w:color w:val="auto"/>
        </w:rPr>
        <w:t xml:space="preserve">m, this is </w:t>
      </w:r>
      <w:r w:rsidRPr="00E32EA5">
        <w:rPr>
          <w:rFonts w:cs="Arial"/>
        </w:rPr>
        <w:t>considered an appropriate level and there is no planned use of this reserve.</w:t>
      </w:r>
    </w:p>
    <w:p w14:paraId="56E70F9E" w14:textId="7FD887FF" w:rsidR="00B3132C" w:rsidRPr="00014312" w:rsidRDefault="00B3132C" w:rsidP="00D718C0">
      <w:pPr>
        <w:rPr>
          <w:sz w:val="4"/>
          <w:szCs w:val="4"/>
        </w:rPr>
      </w:pPr>
    </w:p>
    <w:p w14:paraId="30E64A02" w14:textId="2CE447C1" w:rsidR="00E32EA5" w:rsidRPr="00365609" w:rsidRDefault="00E32EA5" w:rsidP="006D6A95">
      <w:pPr>
        <w:pStyle w:val="Heading3"/>
      </w:pPr>
      <w:r w:rsidRPr="00365609">
        <w:t>Precept</w:t>
      </w:r>
    </w:p>
    <w:p w14:paraId="02BCCDF5" w14:textId="73EFC3FA" w:rsidR="000B0A99" w:rsidRPr="000B0A99" w:rsidRDefault="000B0A99" w:rsidP="000B0A99">
      <w:pPr>
        <w:contextualSpacing/>
        <w:jc w:val="both"/>
        <w:rPr>
          <w:rFonts w:cs="Arial"/>
        </w:rPr>
      </w:pPr>
      <w:r w:rsidRPr="000B0A99">
        <w:rPr>
          <w:rFonts w:cs="Arial"/>
        </w:rPr>
        <w:t>The precept of F</w:t>
      </w:r>
      <w:r w:rsidR="003A0F12">
        <w:rPr>
          <w:rFonts w:cs="Arial"/>
        </w:rPr>
        <w:t>RS</w:t>
      </w:r>
      <w:r w:rsidRPr="000B0A99">
        <w:rPr>
          <w:rFonts w:cs="Arial"/>
        </w:rPr>
        <w:t xml:space="preserve"> functions in Greater Manchester is set as part of the Mayoral General precept under our devolution arrangements.  The G</w:t>
      </w:r>
      <w:r w:rsidR="003A0F12">
        <w:rPr>
          <w:rFonts w:cs="Arial"/>
        </w:rPr>
        <w:t>MCA</w:t>
      </w:r>
      <w:r w:rsidRPr="000B0A99">
        <w:rPr>
          <w:rFonts w:cs="Arial"/>
        </w:rPr>
        <w:t xml:space="preserve"> – made up of the 10 council leaders in Greater Manchester, and the </w:t>
      </w:r>
      <w:proofErr w:type="gramStart"/>
      <w:r w:rsidRPr="000B0A99">
        <w:rPr>
          <w:rFonts w:cs="Arial"/>
        </w:rPr>
        <w:t>Mayor</w:t>
      </w:r>
      <w:proofErr w:type="gramEnd"/>
      <w:r w:rsidRPr="000B0A99">
        <w:rPr>
          <w:rFonts w:cs="Arial"/>
        </w:rPr>
        <w:t xml:space="preserve"> – have approved a £5.00 increase in a Band D Council Tax Precept for 2023/24, in line with the Council Tax Referendum Principle.  The GMCA decision was taken on 10th</w:t>
      </w:r>
      <w:r w:rsidRPr="000B0A99">
        <w:rPr>
          <w:rFonts w:cs="Arial"/>
          <w:vertAlign w:val="superscript"/>
        </w:rPr>
        <w:t xml:space="preserve"> </w:t>
      </w:r>
      <w:r w:rsidRPr="000B0A99">
        <w:rPr>
          <w:rFonts w:cs="Arial"/>
        </w:rPr>
        <w:t>February 2023.</w:t>
      </w:r>
    </w:p>
    <w:p w14:paraId="6BC45FC5" w14:textId="77777777" w:rsidR="000B0A99" w:rsidRPr="00981661" w:rsidRDefault="000B0A99" w:rsidP="000B0A99">
      <w:pPr>
        <w:ind w:left="360" w:hanging="360"/>
        <w:contextualSpacing/>
        <w:jc w:val="both"/>
        <w:rPr>
          <w:rFonts w:cs="Arial"/>
          <w:sz w:val="16"/>
          <w:szCs w:val="16"/>
        </w:rPr>
      </w:pPr>
    </w:p>
    <w:p w14:paraId="4FD786AD" w14:textId="7BB8633F" w:rsidR="000B0A99" w:rsidRPr="000B0A99" w:rsidRDefault="000B0A99" w:rsidP="000B0A99">
      <w:pPr>
        <w:contextualSpacing/>
        <w:jc w:val="both"/>
        <w:rPr>
          <w:rFonts w:cs="Arial"/>
        </w:rPr>
      </w:pPr>
      <w:r w:rsidRPr="000B0A99">
        <w:rPr>
          <w:rFonts w:cs="Arial"/>
        </w:rPr>
        <w:t xml:space="preserve">While reluctant to add to the burden of local council taxpayers, our £5 increase in the Band D Council Tax Precept allows us to continue our journey of improvement and maintain our headcount and the current levels of service that we deliver to our communities, while dealing with the record high inflation and energy costs which are impacting on the Service’s estate and fleet. </w:t>
      </w:r>
    </w:p>
    <w:p w14:paraId="015F76AB" w14:textId="1840899D" w:rsidR="007B0724" w:rsidRDefault="000B0A99" w:rsidP="004C4036">
      <w:pPr>
        <w:contextualSpacing/>
        <w:jc w:val="both"/>
        <w:rPr>
          <w:rFonts w:cs="Arial"/>
          <w:b/>
          <w:bCs/>
        </w:rPr>
      </w:pPr>
      <w:r w:rsidRPr="000B0A99">
        <w:rPr>
          <w:rFonts w:cs="Arial"/>
        </w:rPr>
        <w:t>Following detailed assessment of risk within the region, the Greater Manchester Mayor has committed to maintaining at least 50 fire engines throughout 2023/24 with crewing at the current level of five firefighters at one pump stations and four firefighters on each engine at two pump stations.  Precept income has therefore been included in our MTFP at the increased rate of £50.80 per Band A property, equivalent to 98 pence per week (£76.20 per household at Band D equivalent, or £1.47 per week) which ensures frontline fire cover is maintained.</w:t>
      </w:r>
    </w:p>
    <w:p w14:paraId="35B344BD" w14:textId="7178797D" w:rsidR="0097476A" w:rsidRPr="00F118DC" w:rsidRDefault="00E90902" w:rsidP="006D6A95">
      <w:pPr>
        <w:pStyle w:val="Heading3"/>
      </w:pPr>
      <w:r w:rsidRPr="00F118DC">
        <w:t xml:space="preserve">Efficiency and Productivity </w:t>
      </w:r>
      <w:r w:rsidR="000235E8" w:rsidRPr="00F118DC">
        <w:t xml:space="preserve">Forward </w:t>
      </w:r>
      <w:r w:rsidR="00953F01" w:rsidRPr="00F118DC">
        <w:t>Plans</w:t>
      </w:r>
    </w:p>
    <w:p w14:paraId="3960DB2E" w14:textId="05BDF391" w:rsidR="0097476A" w:rsidRPr="00217280" w:rsidRDefault="0097476A" w:rsidP="00217280">
      <w:pPr>
        <w:contextualSpacing/>
        <w:jc w:val="both"/>
        <w:rPr>
          <w:rFonts w:cs="Arial"/>
        </w:rPr>
      </w:pPr>
      <w:r w:rsidRPr="00217280">
        <w:rPr>
          <w:rFonts w:cs="Arial"/>
          <w:bCs/>
        </w:rPr>
        <w:t>The Service continues to build on the successful introduction of our GMFRS Improvement Programme in 2021</w:t>
      </w:r>
      <w:r w:rsidR="00A717F1">
        <w:rPr>
          <w:rFonts w:cs="Arial"/>
          <w:bCs/>
        </w:rPr>
        <w:t xml:space="preserve">.  </w:t>
      </w:r>
      <w:r w:rsidR="00683108">
        <w:rPr>
          <w:rFonts w:cs="Arial"/>
          <w:bCs/>
        </w:rPr>
        <w:t xml:space="preserve">Our </w:t>
      </w:r>
      <w:proofErr w:type="gramStart"/>
      <w:r w:rsidR="00683108">
        <w:rPr>
          <w:rFonts w:cs="Arial"/>
          <w:bCs/>
        </w:rPr>
        <w:t>future plans</w:t>
      </w:r>
      <w:proofErr w:type="gramEnd"/>
      <w:r w:rsidR="00683108">
        <w:rPr>
          <w:rFonts w:cs="Arial"/>
          <w:bCs/>
        </w:rPr>
        <w:t xml:space="preserve"> set out how w</w:t>
      </w:r>
      <w:r w:rsidR="00A717F1">
        <w:rPr>
          <w:rFonts w:cs="Arial"/>
          <w:bCs/>
        </w:rPr>
        <w:t xml:space="preserve">e will continue to </w:t>
      </w:r>
      <w:r w:rsidR="00EC5F9D">
        <w:rPr>
          <w:rFonts w:cs="Arial"/>
          <w:bCs/>
        </w:rPr>
        <w:t>deliver efficiencies and improving productivity</w:t>
      </w:r>
      <w:r w:rsidR="006B682A">
        <w:rPr>
          <w:rFonts w:cs="Arial"/>
          <w:bCs/>
        </w:rPr>
        <w:t xml:space="preserve"> across</w:t>
      </w:r>
      <w:r w:rsidR="00061A79">
        <w:rPr>
          <w:rFonts w:cs="Arial"/>
          <w:bCs/>
        </w:rPr>
        <w:t xml:space="preserve"> a range of areas, including</w:t>
      </w:r>
      <w:r w:rsidRPr="00217280">
        <w:rPr>
          <w:rFonts w:cs="Arial"/>
          <w:bCs/>
        </w:rPr>
        <w:t>:</w:t>
      </w:r>
    </w:p>
    <w:p w14:paraId="53C5495A" w14:textId="6A004DE3" w:rsidR="0097476A" w:rsidRDefault="0097476A" w:rsidP="0097476A">
      <w:pPr>
        <w:spacing w:after="0" w:line="276" w:lineRule="auto"/>
        <w:jc w:val="both"/>
        <w:rPr>
          <w:rFonts w:cs="Arial"/>
          <w:bCs/>
          <w:sz w:val="8"/>
          <w:szCs w:val="8"/>
        </w:rPr>
      </w:pPr>
    </w:p>
    <w:p w14:paraId="28B8EE4F" w14:textId="77777777" w:rsidR="002F2A55" w:rsidRPr="007421D7" w:rsidRDefault="002F2A55" w:rsidP="0097476A">
      <w:pPr>
        <w:spacing w:after="0" w:line="276" w:lineRule="auto"/>
        <w:jc w:val="both"/>
        <w:rPr>
          <w:rFonts w:cs="Arial"/>
          <w:bCs/>
          <w:sz w:val="8"/>
          <w:szCs w:val="8"/>
        </w:rPr>
      </w:pPr>
    </w:p>
    <w:p w14:paraId="62192FA6" w14:textId="19EB41DC" w:rsidR="002F2A55" w:rsidRDefault="002F2A55" w:rsidP="007F79F9">
      <w:pPr>
        <w:pStyle w:val="Heading4"/>
      </w:pPr>
      <w:r>
        <w:t>Fire Cover Review</w:t>
      </w:r>
    </w:p>
    <w:p w14:paraId="7B45E378" w14:textId="18D21ED9" w:rsidR="002F2A55" w:rsidRDefault="002F2A55" w:rsidP="00BC6089">
      <w:pPr>
        <w:pStyle w:val="ListParagraph"/>
      </w:pPr>
      <w:r w:rsidRPr="00395C84">
        <w:t xml:space="preserve">We plan to </w:t>
      </w:r>
      <w:r w:rsidR="00E71E7C">
        <w:t xml:space="preserve">undertake a </w:t>
      </w:r>
      <w:r w:rsidRPr="00395C84">
        <w:t>fire cover</w:t>
      </w:r>
      <w:r w:rsidR="00E71E7C">
        <w:t xml:space="preserve"> review</w:t>
      </w:r>
      <w:r w:rsidRPr="00395C84">
        <w:t xml:space="preserve"> to improve our </w:t>
      </w:r>
      <w:r>
        <w:t>respon</w:t>
      </w:r>
      <w:r w:rsidR="003072BC">
        <w:t>se</w:t>
      </w:r>
      <w:r>
        <w:t xml:space="preserve"> to the risks across Greater Manchester</w:t>
      </w:r>
      <w:r w:rsidR="004478C0">
        <w:t xml:space="preserve">. </w:t>
      </w:r>
      <w:r w:rsidR="005D2CEA">
        <w:t xml:space="preserve">These </w:t>
      </w:r>
      <w:r w:rsidR="00CA001A">
        <w:t>p</w:t>
      </w:r>
      <w:r w:rsidR="004478C0">
        <w:t>roposals will implement more cost-effective shift systems</w:t>
      </w:r>
      <w:r w:rsidR="00E71E7C">
        <w:t xml:space="preserve">, </w:t>
      </w:r>
      <w:r w:rsidR="004E421A">
        <w:t>limiting negative impact</w:t>
      </w:r>
      <w:r w:rsidR="00DC58AA">
        <w:t>s</w:t>
      </w:r>
      <w:r w:rsidR="004E421A">
        <w:t xml:space="preserve"> on performance</w:t>
      </w:r>
      <w:r w:rsidR="00DC58AA">
        <w:t xml:space="preserve"> </w:t>
      </w:r>
      <w:r w:rsidR="003072BC">
        <w:t xml:space="preserve">and </w:t>
      </w:r>
      <w:r w:rsidR="00DC58AA">
        <w:t>creating efficiency savings that will be used to reinvest in key areas of the Service</w:t>
      </w:r>
      <w:r>
        <w:t xml:space="preserve"> specifically:</w:t>
      </w:r>
    </w:p>
    <w:p w14:paraId="43346F93" w14:textId="77777777" w:rsidR="002F2A55" w:rsidRDefault="002F2A55" w:rsidP="00BC6089">
      <w:pPr>
        <w:pStyle w:val="ListParagraph"/>
        <w:numPr>
          <w:ilvl w:val="0"/>
          <w:numId w:val="2"/>
        </w:numPr>
      </w:pPr>
      <w:r>
        <w:t xml:space="preserve">Introduce further day crewing </w:t>
      </w:r>
      <w:proofErr w:type="gramStart"/>
      <w:r>
        <w:t>stations</w:t>
      </w:r>
      <w:proofErr w:type="gramEnd"/>
    </w:p>
    <w:p w14:paraId="4DA93357" w14:textId="5F1CA046" w:rsidR="002F2A55" w:rsidRDefault="002F2A55" w:rsidP="00BC6089">
      <w:pPr>
        <w:pStyle w:val="ListParagraph"/>
        <w:numPr>
          <w:ilvl w:val="0"/>
          <w:numId w:val="2"/>
        </w:numPr>
      </w:pPr>
      <w:r>
        <w:lastRenderedPageBreak/>
        <w:t xml:space="preserve">Improve our </w:t>
      </w:r>
      <w:r w:rsidR="006E3240">
        <w:t>special appliance</w:t>
      </w:r>
      <w:r>
        <w:t xml:space="preserve"> </w:t>
      </w:r>
      <w:proofErr w:type="gramStart"/>
      <w:r>
        <w:t>capabilities</w:t>
      </w:r>
      <w:proofErr w:type="gramEnd"/>
    </w:p>
    <w:p w14:paraId="6F2381BF" w14:textId="77777777" w:rsidR="002F2A55" w:rsidRDefault="002F2A55" w:rsidP="00BC6089">
      <w:pPr>
        <w:pStyle w:val="ListParagraph"/>
        <w:numPr>
          <w:ilvl w:val="0"/>
          <w:numId w:val="2"/>
        </w:numPr>
      </w:pPr>
      <w:r>
        <w:t xml:space="preserve">Increase our frontline operational </w:t>
      </w:r>
      <w:proofErr w:type="gramStart"/>
      <w:r>
        <w:t>fleet</w:t>
      </w:r>
      <w:proofErr w:type="gramEnd"/>
    </w:p>
    <w:p w14:paraId="403560DE" w14:textId="77777777" w:rsidR="002F2A55" w:rsidRPr="006D6EEB" w:rsidRDefault="002F2A55" w:rsidP="002F2A55">
      <w:pPr>
        <w:spacing w:after="0"/>
        <w:ind w:left="360"/>
        <w:contextualSpacing/>
        <w:jc w:val="both"/>
        <w:rPr>
          <w:rFonts w:cs="Arial"/>
          <w:sz w:val="4"/>
          <w:szCs w:val="4"/>
        </w:rPr>
      </w:pPr>
    </w:p>
    <w:p w14:paraId="5AD1EE74" w14:textId="4C843117" w:rsidR="002F2A55" w:rsidRPr="006F6912" w:rsidRDefault="002F2A55" w:rsidP="00BC6089">
      <w:pPr>
        <w:pStyle w:val="ListParagraph"/>
      </w:pPr>
      <w:r w:rsidRPr="00626FED">
        <w:t>These proposals form part of our community risk management planning and will</w:t>
      </w:r>
      <w:r w:rsidRPr="006F6912">
        <w:t xml:space="preserve"> be consulted upon during Q</w:t>
      </w:r>
      <w:r w:rsidR="00D23B39" w:rsidRPr="006F6912">
        <w:t>1</w:t>
      </w:r>
      <w:r w:rsidRPr="006F6912">
        <w:t xml:space="preserve"> 2023/24.</w:t>
      </w:r>
    </w:p>
    <w:p w14:paraId="2D8D2B8D" w14:textId="77777777" w:rsidR="002F2A55" w:rsidRPr="00735ECC" w:rsidRDefault="002F2A55" w:rsidP="002F2A55">
      <w:pPr>
        <w:ind w:left="360" w:hanging="360"/>
        <w:rPr>
          <w:color w:val="FF0000"/>
          <w:sz w:val="4"/>
          <w:szCs w:val="4"/>
        </w:rPr>
      </w:pPr>
    </w:p>
    <w:p w14:paraId="13B2602C" w14:textId="0277A94F" w:rsidR="00442F27" w:rsidRDefault="00442F27" w:rsidP="007F79F9">
      <w:pPr>
        <w:pStyle w:val="Heading4"/>
      </w:pPr>
      <w:r>
        <w:t>Service Reviews</w:t>
      </w:r>
    </w:p>
    <w:p w14:paraId="122A7A47" w14:textId="04DFB833" w:rsidR="00442F27" w:rsidRDefault="00442F27" w:rsidP="00BC6089">
      <w:pPr>
        <w:pStyle w:val="ListParagraph"/>
      </w:pPr>
      <w:r w:rsidRPr="00C96FBF">
        <w:t xml:space="preserve">We plan to review our current </w:t>
      </w:r>
      <w:r w:rsidR="00BA0F82">
        <w:t>call handling</w:t>
      </w:r>
      <w:r w:rsidRPr="00C96FBF">
        <w:t xml:space="preserve"> arrangements and explore options that consider a co-located control room to deliver a more efficient and effective joint incident management model.</w:t>
      </w:r>
    </w:p>
    <w:p w14:paraId="5CD3786F" w14:textId="047AF863" w:rsidR="007414AA" w:rsidRPr="00C96FBF" w:rsidRDefault="007414AA" w:rsidP="00BC6089">
      <w:pPr>
        <w:pStyle w:val="ListParagraph"/>
      </w:pPr>
      <w:r w:rsidRPr="00C96FBF">
        <w:t xml:space="preserve">We intend to conclude the strategic review of Special Appliances and implement recommendations in relation to aerial appliances, water rescue units and technical rescue units. </w:t>
      </w:r>
      <w:r w:rsidR="00E666FD">
        <w:t>This activity will be linked, where appropriate, to our Fire Cover proposals consultation.</w:t>
      </w:r>
    </w:p>
    <w:p w14:paraId="127F2EC3" w14:textId="22964152" w:rsidR="00FD0018" w:rsidRPr="00C96FBF" w:rsidRDefault="00FD0018" w:rsidP="00BC6089">
      <w:pPr>
        <w:pStyle w:val="ListParagraph"/>
      </w:pPr>
      <w:r w:rsidRPr="00C96FBF">
        <w:t>Review of Operational Training provision</w:t>
      </w:r>
      <w:r w:rsidR="002A2651">
        <w:t xml:space="preserve"> </w:t>
      </w:r>
      <w:r w:rsidR="00E30211">
        <w:t xml:space="preserve">to deliver a more efficient </w:t>
      </w:r>
      <w:r w:rsidR="00C02452">
        <w:t>training delivery model</w:t>
      </w:r>
      <w:r w:rsidR="004637A3">
        <w:t>, with a</w:t>
      </w:r>
      <w:r w:rsidR="005A4041">
        <w:t xml:space="preserve">n annual training plan </w:t>
      </w:r>
      <w:r w:rsidR="0051687A">
        <w:t xml:space="preserve">to </w:t>
      </w:r>
      <w:r w:rsidR="003F2B13">
        <w:t xml:space="preserve">ensure all staff receive </w:t>
      </w:r>
      <w:r w:rsidR="0062100E">
        <w:t xml:space="preserve">necessary training to </w:t>
      </w:r>
      <w:r w:rsidR="007C6F8A">
        <w:t>support</w:t>
      </w:r>
      <w:r w:rsidR="0062100E">
        <w:t xml:space="preserve"> competency</w:t>
      </w:r>
      <w:r w:rsidR="003E3650">
        <w:t>.</w:t>
      </w:r>
    </w:p>
    <w:p w14:paraId="4D342515" w14:textId="77777777" w:rsidR="00EE693D" w:rsidRPr="00617FA4" w:rsidRDefault="00EE693D" w:rsidP="00BC6089">
      <w:pPr>
        <w:pStyle w:val="ListParagraph"/>
      </w:pPr>
      <w:r w:rsidRPr="0001187C">
        <w:t>Implement recommendations from the review of fleet and logistics to streamline structures and increase transparency and improve resilience across teams.</w:t>
      </w:r>
    </w:p>
    <w:p w14:paraId="4FB62B8F" w14:textId="4FF622F4" w:rsidR="005273F8" w:rsidRDefault="0011280F" w:rsidP="00BC6089">
      <w:pPr>
        <w:pStyle w:val="ListParagraph"/>
      </w:pPr>
      <w:r w:rsidRPr="00C96FBF">
        <w:t>The future requirements for FSHQ accommodation will be</w:t>
      </w:r>
      <w:r w:rsidR="005273F8">
        <w:t xml:space="preserve"> reviewed.</w:t>
      </w:r>
    </w:p>
    <w:p w14:paraId="30A7C65B" w14:textId="77777777" w:rsidR="003072BC" w:rsidRDefault="003072BC" w:rsidP="00BC6089">
      <w:pPr>
        <w:ind w:left="284"/>
      </w:pPr>
    </w:p>
    <w:p w14:paraId="00EE4CA0" w14:textId="77777777" w:rsidR="00C7529B" w:rsidRDefault="00C7529B">
      <w:pPr>
        <w:spacing w:line="259" w:lineRule="auto"/>
        <w:rPr>
          <w:rFonts w:cs="Arial"/>
          <w:b/>
          <w:bCs/>
        </w:rPr>
      </w:pPr>
      <w:r>
        <w:br w:type="page"/>
      </w:r>
    </w:p>
    <w:p w14:paraId="1C01017E" w14:textId="537D1728" w:rsidR="001368BD" w:rsidRPr="00C96FBF" w:rsidRDefault="009B7850" w:rsidP="007F79F9">
      <w:pPr>
        <w:pStyle w:val="Heading4"/>
      </w:pPr>
      <w:r>
        <w:lastRenderedPageBreak/>
        <w:t>Partnership Working</w:t>
      </w:r>
    </w:p>
    <w:p w14:paraId="3A9A0B49" w14:textId="77777777" w:rsidR="009B7850" w:rsidRPr="00617FA4" w:rsidRDefault="009B7850" w:rsidP="00BC6089">
      <w:pPr>
        <w:pStyle w:val="ListParagraph"/>
      </w:pPr>
      <w:r w:rsidRPr="001B60D1">
        <w:t xml:space="preserve">Continue to implement our new Integrated Place-Based Working framework that </w:t>
      </w:r>
      <w:r>
        <w:t xml:space="preserve">is </w:t>
      </w:r>
      <w:r w:rsidRPr="001B60D1">
        <w:t>assist</w:t>
      </w:r>
      <w:r>
        <w:t>ing</w:t>
      </w:r>
      <w:r w:rsidRPr="001B60D1">
        <w:t xml:space="preserve"> with driving continuous improvement </w:t>
      </w:r>
      <w:r>
        <w:t>and working in partnership with other key services.</w:t>
      </w:r>
    </w:p>
    <w:p w14:paraId="42AFBD85" w14:textId="78291AC4" w:rsidR="009B7850" w:rsidRPr="00617FA4" w:rsidRDefault="009B7850" w:rsidP="00BC6089">
      <w:pPr>
        <w:pStyle w:val="ListParagraph"/>
      </w:pPr>
      <w:r w:rsidRPr="0001187C">
        <w:t xml:space="preserve">Implement </w:t>
      </w:r>
      <w:r>
        <w:t xml:space="preserve">an </w:t>
      </w:r>
      <w:r w:rsidRPr="0001187C">
        <w:t xml:space="preserve">Integrated Place-Based Working ‘What Works Forum’ to share best practice and identify and prioritise initiatives </w:t>
      </w:r>
      <w:r w:rsidR="00B649E9">
        <w:t xml:space="preserve">that </w:t>
      </w:r>
      <w:r w:rsidRPr="0001187C">
        <w:t>deliver the best value.</w:t>
      </w:r>
    </w:p>
    <w:p w14:paraId="47A76D2C" w14:textId="447F172E" w:rsidR="002E61B2" w:rsidRDefault="002E61B2" w:rsidP="00BC6089">
      <w:pPr>
        <w:pStyle w:val="ListParagraph"/>
      </w:pPr>
      <w:r w:rsidRPr="0001187C">
        <w:t>Enhance Blue Light Service collaboration</w:t>
      </w:r>
      <w:r w:rsidR="007A5A95">
        <w:t xml:space="preserve"> </w:t>
      </w:r>
      <w:r w:rsidR="00244D48">
        <w:t xml:space="preserve">to improve service delivery and provide greater value, through initial areas of focus including leadership and </w:t>
      </w:r>
      <w:r w:rsidR="007A5A95">
        <w:t>d</w:t>
      </w:r>
      <w:r w:rsidR="00244D48">
        <w:t>evelopment, recruitment, estates, and operational opportunities.</w:t>
      </w:r>
    </w:p>
    <w:p w14:paraId="23013683" w14:textId="77777777" w:rsidR="00333B76" w:rsidRDefault="00333B76" w:rsidP="00BC6089">
      <w:pPr>
        <w:pStyle w:val="ListParagraph"/>
      </w:pPr>
      <w:r>
        <w:t>GMFRS is driving the creation of England’s first regional strategic water safety partnership. We are bringing together local authorities, police and ambulance services, landowners, and water safety specialists to reduce the risks posed by our waterways.</w:t>
      </w:r>
    </w:p>
    <w:p w14:paraId="5AA91115" w14:textId="2826DF23" w:rsidR="00333B76" w:rsidRPr="00617FA4" w:rsidRDefault="00333B76" w:rsidP="00BC6089">
      <w:pPr>
        <w:pStyle w:val="ListParagraph"/>
      </w:pPr>
      <w:r>
        <w:t xml:space="preserve">The devolution arrangements in Greater Manchester allow us to </w:t>
      </w:r>
      <w:r w:rsidR="00C7529B">
        <w:t>align GMFRS priorities more closely</w:t>
      </w:r>
      <w:r>
        <w:t xml:space="preserve"> with those of the rest of the GMCA. We are using our resources to deliver wider ambitions for the region such as the reduction of violent crime; improved outcomes for young people; the delivery of apprenticeships; the fight against modern slavery; support for community safety partnership initiatives; and more.</w:t>
      </w:r>
    </w:p>
    <w:p w14:paraId="30E3478A" w14:textId="77777777" w:rsidR="0011280F" w:rsidRPr="00735ECC" w:rsidRDefault="0011280F" w:rsidP="0011280F">
      <w:pPr>
        <w:rPr>
          <w:sz w:val="4"/>
          <w:szCs w:val="4"/>
        </w:rPr>
      </w:pPr>
    </w:p>
    <w:p w14:paraId="5883E87D" w14:textId="77777777" w:rsidR="0011280F" w:rsidRDefault="0011280F" w:rsidP="007F79F9">
      <w:pPr>
        <w:pStyle w:val="Heading4"/>
      </w:pPr>
      <w:r>
        <w:t>Technology</w:t>
      </w:r>
      <w:r w:rsidRPr="0011280F">
        <w:t xml:space="preserve"> </w:t>
      </w:r>
    </w:p>
    <w:p w14:paraId="7D8C19D2" w14:textId="5CFD13E4" w:rsidR="00E858D4" w:rsidRDefault="004622FE" w:rsidP="00BC6089">
      <w:pPr>
        <w:pStyle w:val="ListParagraph"/>
      </w:pPr>
      <w:r>
        <w:t xml:space="preserve">We will introduce </w:t>
      </w:r>
      <w:r w:rsidR="009D2D18">
        <w:t>a</w:t>
      </w:r>
      <w:r w:rsidR="00E858D4" w:rsidRPr="00522E02">
        <w:t xml:space="preserve"> Prevention and Protection digital programme</w:t>
      </w:r>
      <w:r w:rsidR="009D2D18">
        <w:t xml:space="preserve"> to</w:t>
      </w:r>
      <w:r w:rsidR="00E858D4" w:rsidRPr="00522E02">
        <w:t xml:space="preserve"> provide a single digital </w:t>
      </w:r>
      <w:r w:rsidR="00E858D4">
        <w:t xml:space="preserve">method for </w:t>
      </w:r>
      <w:r w:rsidR="00E858D4" w:rsidRPr="00522E02">
        <w:t>record</w:t>
      </w:r>
      <w:r w:rsidR="00E858D4">
        <w:t>ing</w:t>
      </w:r>
      <w:r w:rsidR="00E858D4" w:rsidRPr="00522E02">
        <w:t xml:space="preserve"> all activities</w:t>
      </w:r>
      <w:r w:rsidR="00403D03">
        <w:t xml:space="preserve">, </w:t>
      </w:r>
      <w:r w:rsidR="0015657D">
        <w:t>significantly improv</w:t>
      </w:r>
      <w:r w:rsidR="00403D03">
        <w:t>ing</w:t>
      </w:r>
      <w:r w:rsidR="0015657D">
        <w:t xml:space="preserve"> our ability to accurately record interactions and expand capability </w:t>
      </w:r>
      <w:r w:rsidR="00E2211D">
        <w:t xml:space="preserve">of operational </w:t>
      </w:r>
      <w:r w:rsidR="0015657D">
        <w:t>crews.</w:t>
      </w:r>
    </w:p>
    <w:p w14:paraId="2EA9C292" w14:textId="057FCEC1" w:rsidR="00D8523C" w:rsidRDefault="00D8523C" w:rsidP="00BC6089">
      <w:pPr>
        <w:pStyle w:val="ListParagraph"/>
      </w:pPr>
      <w:r>
        <w:t xml:space="preserve">Following the successful installation of the new </w:t>
      </w:r>
      <w:r w:rsidRPr="005C417D">
        <w:t>M</w:t>
      </w:r>
      <w:r>
        <w:t xml:space="preserve">obile </w:t>
      </w:r>
      <w:r w:rsidRPr="005C417D">
        <w:t>D</w:t>
      </w:r>
      <w:r>
        <w:t xml:space="preserve">ata </w:t>
      </w:r>
      <w:r w:rsidRPr="005C417D">
        <w:t>T</w:t>
      </w:r>
      <w:r>
        <w:t>erminal</w:t>
      </w:r>
      <w:r w:rsidRPr="005C417D">
        <w:t>s</w:t>
      </w:r>
      <w:r w:rsidR="004B5AC7">
        <w:t xml:space="preserve"> (MDTs)</w:t>
      </w:r>
      <w:r w:rsidRPr="005C417D">
        <w:t xml:space="preserve"> in all our fire appliances</w:t>
      </w:r>
      <w:r w:rsidR="002669B2">
        <w:t xml:space="preserve">, we are </w:t>
      </w:r>
      <w:r w:rsidR="00041B9D">
        <w:t>developing new applications and forms to assist in streamlining processes</w:t>
      </w:r>
      <w:r w:rsidR="0029257F">
        <w:t xml:space="preserve"> and procedures whilst </w:t>
      </w:r>
      <w:r w:rsidR="00375085">
        <w:t xml:space="preserve">attending </w:t>
      </w:r>
      <w:r w:rsidR="0029257F">
        <w:t xml:space="preserve">operational </w:t>
      </w:r>
      <w:r w:rsidR="00C4697B">
        <w:t>emergencies and incidents</w:t>
      </w:r>
      <w:r w:rsidR="00375085">
        <w:t xml:space="preserve"> i.e</w:t>
      </w:r>
      <w:r w:rsidR="00C4697B">
        <w:t>.</w:t>
      </w:r>
      <w:r w:rsidR="00375085">
        <w:t>, Patient Transfer Forms</w:t>
      </w:r>
      <w:r w:rsidR="00C4697B">
        <w:t xml:space="preserve">, </w:t>
      </w:r>
      <w:r w:rsidR="008F4FEA">
        <w:t xml:space="preserve">High Rise Evacuation </w:t>
      </w:r>
      <w:r w:rsidR="0021433B">
        <w:t>procedures.</w:t>
      </w:r>
    </w:p>
    <w:p w14:paraId="2BDA206C" w14:textId="1198959E" w:rsidR="00F05034" w:rsidRPr="00617FA4" w:rsidRDefault="00493D86" w:rsidP="00BC6089">
      <w:pPr>
        <w:pStyle w:val="ListParagraph"/>
      </w:pPr>
      <w:r>
        <w:t xml:space="preserve">To assist operational crews in the delivery of simultaneous prevention activities, </w:t>
      </w:r>
      <w:r w:rsidR="004B5AC7">
        <w:t>w</w:t>
      </w:r>
      <w:r w:rsidR="006B444E">
        <w:t xml:space="preserve">e </w:t>
      </w:r>
      <w:r w:rsidR="00C67DB9">
        <w:t xml:space="preserve">are </w:t>
      </w:r>
      <w:r w:rsidR="006B444E">
        <w:t>in</w:t>
      </w:r>
      <w:r w:rsidR="00F05034">
        <w:t>vest</w:t>
      </w:r>
      <w:r w:rsidR="00C67DB9">
        <w:t>ing</w:t>
      </w:r>
      <w:r w:rsidR="00F05034">
        <w:t xml:space="preserve"> in </w:t>
      </w:r>
      <w:r w:rsidR="008140F7">
        <w:t>new</w:t>
      </w:r>
      <w:r w:rsidR="00E206EE">
        <w:t xml:space="preserve"> </w:t>
      </w:r>
      <w:r w:rsidR="006B444E">
        <w:t xml:space="preserve">mobile </w:t>
      </w:r>
      <w:r w:rsidR="00F05034">
        <w:t>devices</w:t>
      </w:r>
      <w:r w:rsidR="00363F2A">
        <w:t xml:space="preserve"> (Surface Pro)</w:t>
      </w:r>
      <w:r w:rsidR="00021A56">
        <w:t xml:space="preserve"> for all o</w:t>
      </w:r>
      <w:r w:rsidR="00D9207B">
        <w:t xml:space="preserve">ur </w:t>
      </w:r>
      <w:r w:rsidR="00735ECC">
        <w:t xml:space="preserve">fire </w:t>
      </w:r>
      <w:r w:rsidR="00E2211D">
        <w:t>appliance</w:t>
      </w:r>
      <w:r w:rsidR="00D9207B">
        <w:t>s</w:t>
      </w:r>
      <w:r w:rsidR="00E206EE">
        <w:t xml:space="preserve">. These </w:t>
      </w:r>
      <w:r w:rsidR="008140F7">
        <w:t xml:space="preserve">devices </w:t>
      </w:r>
      <w:r w:rsidR="00E206EE">
        <w:t>will</w:t>
      </w:r>
      <w:r w:rsidR="00177272">
        <w:t xml:space="preserve"> </w:t>
      </w:r>
      <w:r w:rsidR="00A03659">
        <w:t xml:space="preserve">provide </w:t>
      </w:r>
      <w:r w:rsidR="008140F7">
        <w:t>additional</w:t>
      </w:r>
      <w:r w:rsidR="00A03659">
        <w:t xml:space="preserve"> flexibility</w:t>
      </w:r>
      <w:r w:rsidR="00B649E9">
        <w:t>, alongside the new MDTs</w:t>
      </w:r>
      <w:r w:rsidR="00A03659">
        <w:t>,</w:t>
      </w:r>
      <w:r w:rsidR="004605CB">
        <w:t xml:space="preserve"> </w:t>
      </w:r>
      <w:r w:rsidR="00A03659">
        <w:t>ensuring</w:t>
      </w:r>
      <w:r w:rsidR="00E355D2">
        <w:t xml:space="preserve"> resources are used more effectively</w:t>
      </w:r>
      <w:r w:rsidR="00363F2A">
        <w:t>.</w:t>
      </w:r>
    </w:p>
    <w:p w14:paraId="6F8394CA" w14:textId="6FC8BC0E" w:rsidR="0011280F" w:rsidRDefault="0011280F" w:rsidP="00BC6089">
      <w:pPr>
        <w:pStyle w:val="ListParagraph"/>
      </w:pPr>
      <w:r w:rsidRPr="00045136">
        <w:t>I</w:t>
      </w:r>
      <w:r>
        <w:t>m</w:t>
      </w:r>
      <w:r w:rsidRPr="00045136">
        <w:t xml:space="preserve">plement </w:t>
      </w:r>
      <w:r w:rsidR="006F2564" w:rsidRPr="00522E02">
        <w:t xml:space="preserve">Phase 2 of our crewing system </w:t>
      </w:r>
      <w:r w:rsidR="006F2564">
        <w:t>‘</w:t>
      </w:r>
      <w:proofErr w:type="spellStart"/>
      <w:r w:rsidR="006F2564" w:rsidRPr="00522E02">
        <w:t>Gartan</w:t>
      </w:r>
      <w:proofErr w:type="spellEnd"/>
      <w:r w:rsidR="006F2564">
        <w:t>’</w:t>
      </w:r>
      <w:r w:rsidR="006F2564" w:rsidRPr="00522E02">
        <w:t xml:space="preserve">, </w:t>
      </w:r>
      <w:r w:rsidR="0002772F">
        <w:t xml:space="preserve">and </w:t>
      </w:r>
      <w:r w:rsidR="009124A5">
        <w:t xml:space="preserve">App </w:t>
      </w:r>
      <w:r w:rsidR="00A54BB9">
        <w:t>development</w:t>
      </w:r>
      <w:r w:rsidR="0002772F">
        <w:t xml:space="preserve"> </w:t>
      </w:r>
      <w:r w:rsidR="006F2564" w:rsidRPr="00522E02">
        <w:t xml:space="preserve">providing improvements and </w:t>
      </w:r>
      <w:r w:rsidR="00250213">
        <w:t>more efficient resource</w:t>
      </w:r>
      <w:r w:rsidR="006F2564" w:rsidRPr="00522E02">
        <w:t xml:space="preserve"> management of our operational </w:t>
      </w:r>
      <w:r w:rsidR="006F2564">
        <w:t>staff</w:t>
      </w:r>
      <w:r w:rsidR="00FA00E9">
        <w:t>, including</w:t>
      </w:r>
      <w:r w:rsidR="00A54BB9">
        <w:t xml:space="preserve"> their usage</w:t>
      </w:r>
      <w:r w:rsidR="00FF495D">
        <w:t xml:space="preserve"> of the system</w:t>
      </w:r>
      <w:r w:rsidR="00A54BB9">
        <w:t xml:space="preserve">. </w:t>
      </w:r>
    </w:p>
    <w:p w14:paraId="00F94FDA" w14:textId="0EC1A74E" w:rsidR="005308F1" w:rsidRDefault="005308F1" w:rsidP="00BC6089">
      <w:pPr>
        <w:pStyle w:val="ListParagraph"/>
      </w:pPr>
      <w:r>
        <w:t>We are exploring the use of technology to undertake equipment and appliance checks and inventories, which will reduce administrative time and improve the quality of information held about our operational assets.</w:t>
      </w:r>
    </w:p>
    <w:p w14:paraId="363C12A2" w14:textId="6EAC09BA" w:rsidR="0012069B" w:rsidRPr="00617FA4" w:rsidRDefault="003172E5" w:rsidP="00BC6089">
      <w:pPr>
        <w:pStyle w:val="ListParagraph"/>
      </w:pPr>
      <w:r>
        <w:t>We will d</w:t>
      </w:r>
      <w:r w:rsidR="0012069B" w:rsidRPr="0001187C">
        <w:t xml:space="preserve">evelop a </w:t>
      </w:r>
      <w:r w:rsidR="0012069B">
        <w:t>digital platform</w:t>
      </w:r>
      <w:r w:rsidR="0012069B" w:rsidRPr="0001187C">
        <w:t xml:space="preserve"> to support planning, performance, and project</w:t>
      </w:r>
      <w:r w:rsidR="0012069B">
        <w:t xml:space="preserve"> management</w:t>
      </w:r>
      <w:r w:rsidR="000B39E1">
        <w:t xml:space="preserve"> to streamline processes and provide quick and easy access to key information and data.</w:t>
      </w:r>
    </w:p>
    <w:p w14:paraId="4F27F7E7" w14:textId="77777777" w:rsidR="00C7529B" w:rsidRPr="00735ECC" w:rsidRDefault="00C7529B" w:rsidP="00B15924">
      <w:pPr>
        <w:pStyle w:val="Heading5"/>
        <w:rPr>
          <w:sz w:val="4"/>
          <w:szCs w:val="4"/>
        </w:rPr>
      </w:pPr>
    </w:p>
    <w:p w14:paraId="5A8657DF" w14:textId="5ECF3B6F" w:rsidR="0011469B" w:rsidRDefault="0011469B" w:rsidP="007F79F9">
      <w:pPr>
        <w:pStyle w:val="Heading4"/>
      </w:pPr>
      <w:r>
        <w:t>Governance</w:t>
      </w:r>
      <w:r w:rsidRPr="0011469B">
        <w:t xml:space="preserve"> </w:t>
      </w:r>
    </w:p>
    <w:p w14:paraId="1021866D" w14:textId="383FA385" w:rsidR="00F83425" w:rsidRDefault="0011469B" w:rsidP="00BC6089">
      <w:pPr>
        <w:pStyle w:val="ListParagraph"/>
      </w:pPr>
      <w:r w:rsidRPr="00045136">
        <w:lastRenderedPageBreak/>
        <w:t>Develop processes and governance in respect of benefits within project business cases, benefits tracking and benefits realisation – all of which are crucial to create the culture to drive out productivity improvements across the Service.</w:t>
      </w:r>
    </w:p>
    <w:p w14:paraId="4FCC5811" w14:textId="77777777" w:rsidR="001D6B3C" w:rsidRPr="00DB7274" w:rsidRDefault="001D6B3C" w:rsidP="00BC6089">
      <w:pPr>
        <w:pStyle w:val="ListParagraph"/>
      </w:pPr>
      <w:r w:rsidRPr="0001187C">
        <w:t>Implement the Organisational Learning Framework and system to improve our ability to effectively assure and evaluate our organisational learning.</w:t>
      </w:r>
    </w:p>
    <w:p w14:paraId="14CBF8B6" w14:textId="22BF955F" w:rsidR="00126A46" w:rsidRPr="002E4E87" w:rsidRDefault="00F00596" w:rsidP="00BC6089">
      <w:pPr>
        <w:pStyle w:val="ListParagraph"/>
        <w:rPr>
          <w:i/>
          <w:iCs/>
        </w:rPr>
      </w:pPr>
      <w:r>
        <w:t xml:space="preserve">We will implement a refreshed Service Delivery Governance structure which will </w:t>
      </w:r>
      <w:r w:rsidR="00377D60">
        <w:t xml:space="preserve">reduce the number of meetings </w:t>
      </w:r>
      <w:proofErr w:type="gramStart"/>
      <w:r w:rsidR="00377D60">
        <w:t>and also</w:t>
      </w:r>
      <w:proofErr w:type="gramEnd"/>
      <w:r w:rsidR="00377D60">
        <w:t xml:space="preserve"> </w:t>
      </w:r>
      <w:r>
        <w:t>improve the productivity of a large section of our middle management cohort.</w:t>
      </w:r>
    </w:p>
    <w:p w14:paraId="0D2E7B90" w14:textId="2CBE68C5" w:rsidR="00FD4333" w:rsidRDefault="008C765F" w:rsidP="0060771C">
      <w:pPr>
        <w:pStyle w:val="Heading2"/>
      </w:pPr>
      <w:bookmarkStart w:id="19" w:name="_Toc130991397"/>
      <w:r>
        <w:t xml:space="preserve">Operational </w:t>
      </w:r>
      <w:r w:rsidR="007F17B9">
        <w:t>Productivity</w:t>
      </w:r>
      <w:bookmarkEnd w:id="19"/>
    </w:p>
    <w:p w14:paraId="0E5FF2AE" w14:textId="77777777" w:rsidR="00F7619B" w:rsidRDefault="00A62A38" w:rsidP="00CF02AB">
      <w:r>
        <w:t xml:space="preserve">GMFRS </w:t>
      </w:r>
      <w:r w:rsidR="003B56EA">
        <w:t xml:space="preserve">have been exploring opportunities to improve the level of operational </w:t>
      </w:r>
      <w:r w:rsidR="000C4287">
        <w:t>productivity</w:t>
      </w:r>
      <w:r w:rsidR="003B56EA">
        <w:t xml:space="preserve"> </w:t>
      </w:r>
      <w:r w:rsidR="0012366C">
        <w:t xml:space="preserve">across the Service. </w:t>
      </w:r>
    </w:p>
    <w:p w14:paraId="653BB1A5" w14:textId="17E27580" w:rsidR="00F7619B" w:rsidRDefault="00035876" w:rsidP="00CF02AB">
      <w:r>
        <w:t xml:space="preserve">Resourcing bubbles have been </w:t>
      </w:r>
      <w:r w:rsidR="005147CD">
        <w:t>introduced</w:t>
      </w:r>
      <w:r>
        <w:t xml:space="preserve"> </w:t>
      </w:r>
      <w:r w:rsidR="00DA51AA">
        <w:t>in order to reduce the movements of operational personnel from one station to another, reduc</w:t>
      </w:r>
      <w:r w:rsidR="00C05FA2">
        <w:t>ing</w:t>
      </w:r>
      <w:r w:rsidR="00DA51AA">
        <w:t xml:space="preserve"> the cost of detachment and travelling payments as well as ensuring operational staff are based at their home location more often to aide with the completion of training.</w:t>
      </w:r>
      <w:r w:rsidR="003072BC">
        <w:t xml:space="preserve">  This will also reduce vehicle emissions and improve air quality</w:t>
      </w:r>
      <w:r w:rsidR="00DE18D5">
        <w:t>.</w:t>
      </w:r>
    </w:p>
    <w:p w14:paraId="49583522" w14:textId="69D68615" w:rsidR="00A14A71" w:rsidRDefault="000D658D" w:rsidP="00CF02AB">
      <w:r>
        <w:t xml:space="preserve">To </w:t>
      </w:r>
      <w:r w:rsidR="0012366C">
        <w:t>provide a clearer understanding o</w:t>
      </w:r>
      <w:r w:rsidR="00470A71">
        <w:t xml:space="preserve">n </w:t>
      </w:r>
      <w:r w:rsidR="0012366C">
        <w:t xml:space="preserve">where </w:t>
      </w:r>
      <w:r w:rsidR="006D014D">
        <w:t xml:space="preserve">improvements and efficiencies could be made, </w:t>
      </w:r>
      <w:r w:rsidR="007946CA">
        <w:t>a</w:t>
      </w:r>
      <w:r w:rsidR="00101008">
        <w:t xml:space="preserve"> </w:t>
      </w:r>
      <w:r w:rsidR="00793ED3">
        <w:t>project</w:t>
      </w:r>
      <w:r w:rsidR="00101008">
        <w:t xml:space="preserve"> was initiated to determine </w:t>
      </w:r>
      <w:r w:rsidR="002915DD">
        <w:t>the</w:t>
      </w:r>
      <w:r w:rsidR="005E0EC9">
        <w:t xml:space="preserve"> </w:t>
      </w:r>
      <w:r w:rsidR="00B43AE4">
        <w:t xml:space="preserve">current </w:t>
      </w:r>
      <w:r w:rsidR="005E0EC9">
        <w:t xml:space="preserve">operational </w:t>
      </w:r>
      <w:r w:rsidR="007340BD">
        <w:t>activities</w:t>
      </w:r>
      <w:r w:rsidR="00A14A71">
        <w:t xml:space="preserve"> </w:t>
      </w:r>
      <w:r w:rsidR="005E0EC9">
        <w:t xml:space="preserve">across </w:t>
      </w:r>
      <w:r w:rsidR="00DE18D5">
        <w:t>our</w:t>
      </w:r>
      <w:r w:rsidR="005E0EC9">
        <w:t xml:space="preserve"> </w:t>
      </w:r>
      <w:r w:rsidR="00C44424">
        <w:t xml:space="preserve">41 </w:t>
      </w:r>
      <w:r w:rsidR="00B377A6">
        <w:t xml:space="preserve">fire </w:t>
      </w:r>
      <w:r w:rsidR="00C44424">
        <w:t xml:space="preserve">stations.  </w:t>
      </w:r>
      <w:r w:rsidR="007C3D12">
        <w:t xml:space="preserve"> </w:t>
      </w:r>
    </w:p>
    <w:p w14:paraId="70595CBC" w14:textId="331CB4E2" w:rsidR="00434BFF" w:rsidRPr="007925A8" w:rsidRDefault="00C44424" w:rsidP="00CF02AB">
      <w:r>
        <w:t>Data was collected f</w:t>
      </w:r>
      <w:r w:rsidR="00BC204F">
        <w:t>rom</w:t>
      </w:r>
      <w:r w:rsidR="00B377A6">
        <w:t xml:space="preserve"> each </w:t>
      </w:r>
      <w:r>
        <w:t>station</w:t>
      </w:r>
      <w:r w:rsidR="00A72574">
        <w:t xml:space="preserve"> through </w:t>
      </w:r>
      <w:r w:rsidR="00101008" w:rsidRPr="007925A8">
        <w:t xml:space="preserve">self-reported activity logs that </w:t>
      </w:r>
      <w:r w:rsidR="00F15839">
        <w:t xml:space="preserve">operational </w:t>
      </w:r>
      <w:r w:rsidR="00101008" w:rsidRPr="007925A8">
        <w:t xml:space="preserve">crews </w:t>
      </w:r>
      <w:r w:rsidR="00A72574">
        <w:t xml:space="preserve">completed during the period </w:t>
      </w:r>
      <w:r w:rsidR="00101008" w:rsidRPr="007925A8">
        <w:t>30</w:t>
      </w:r>
      <w:r w:rsidR="00A72574">
        <w:t>th</w:t>
      </w:r>
      <w:r w:rsidR="00101008" w:rsidRPr="007925A8">
        <w:t xml:space="preserve"> September 2022 </w:t>
      </w:r>
      <w:r w:rsidR="00A72574">
        <w:t>to 1</w:t>
      </w:r>
      <w:r w:rsidR="00101008" w:rsidRPr="007925A8">
        <w:t>6</w:t>
      </w:r>
      <w:r w:rsidR="00A72574">
        <w:t>th</w:t>
      </w:r>
      <w:r w:rsidR="00101008" w:rsidRPr="007925A8">
        <w:t xml:space="preserve"> October 2022. </w:t>
      </w:r>
      <w:r w:rsidR="00A72574">
        <w:t xml:space="preserve"> </w:t>
      </w:r>
      <w:r w:rsidR="00101008" w:rsidRPr="007925A8">
        <w:t xml:space="preserve">The data was collected for each individual member of </w:t>
      </w:r>
      <w:r w:rsidR="00CB1CD5">
        <w:t xml:space="preserve">the </w:t>
      </w:r>
      <w:r w:rsidR="00101008" w:rsidRPr="007925A8">
        <w:t>watch</w:t>
      </w:r>
      <w:r w:rsidR="00AB3F6B">
        <w:t xml:space="preserve"> and collated into </w:t>
      </w:r>
      <w:r w:rsidR="00434BFF" w:rsidRPr="007925A8">
        <w:t>one large dataset</w:t>
      </w:r>
      <w:r w:rsidR="00AB3F6B">
        <w:t xml:space="preserve">.  </w:t>
      </w:r>
    </w:p>
    <w:p w14:paraId="7E7D3B44" w14:textId="6D67518B" w:rsidR="00A75F02" w:rsidRPr="00B07F4D" w:rsidRDefault="00A429C2" w:rsidP="007F79F9">
      <w:pPr>
        <w:pStyle w:val="Heading3"/>
      </w:pPr>
      <w:r w:rsidRPr="00B07F4D">
        <w:t>Project Findings</w:t>
      </w:r>
    </w:p>
    <w:p w14:paraId="4B872ADB" w14:textId="5E823214" w:rsidR="00BD527E" w:rsidRPr="00B07F4D" w:rsidRDefault="002B5451" w:rsidP="00FA0243">
      <w:pPr>
        <w:rPr>
          <w:rFonts w:eastAsia="Arial" w:cs="Arial"/>
          <w:color w:val="auto"/>
          <w:szCs w:val="24"/>
        </w:rPr>
      </w:pPr>
      <w:r w:rsidRPr="00B07F4D">
        <w:rPr>
          <w:noProof/>
          <w:color w:val="auto"/>
        </w:rPr>
        <w:t xml:space="preserve">Through </w:t>
      </w:r>
      <w:r w:rsidR="00FA0243" w:rsidRPr="00B07F4D">
        <w:rPr>
          <w:noProof/>
          <w:color w:val="auto"/>
        </w:rPr>
        <w:t xml:space="preserve">the </w:t>
      </w:r>
      <w:r w:rsidR="005A4DFC" w:rsidRPr="00B07F4D">
        <w:rPr>
          <w:noProof/>
          <w:color w:val="auto"/>
        </w:rPr>
        <w:t>completi</w:t>
      </w:r>
      <w:r w:rsidR="00504DC9" w:rsidRPr="00B07F4D">
        <w:rPr>
          <w:noProof/>
          <w:color w:val="auto"/>
        </w:rPr>
        <w:t>on of</w:t>
      </w:r>
      <w:r w:rsidR="005A4DFC" w:rsidRPr="00B07F4D">
        <w:rPr>
          <w:noProof/>
          <w:color w:val="auto"/>
        </w:rPr>
        <w:t xml:space="preserve"> </w:t>
      </w:r>
      <w:r w:rsidR="00DF6D7E" w:rsidRPr="00B07F4D">
        <w:rPr>
          <w:noProof/>
          <w:color w:val="auto"/>
        </w:rPr>
        <w:t>the</w:t>
      </w:r>
      <w:r w:rsidR="005A4DFC" w:rsidRPr="00B07F4D">
        <w:rPr>
          <w:noProof/>
          <w:color w:val="auto"/>
        </w:rPr>
        <w:t xml:space="preserve"> </w:t>
      </w:r>
      <w:r w:rsidR="00B04F2D" w:rsidRPr="00B07F4D">
        <w:rPr>
          <w:noProof/>
          <w:color w:val="auto"/>
        </w:rPr>
        <w:t>project</w:t>
      </w:r>
      <w:r w:rsidR="00E44DF8" w:rsidRPr="00B07F4D">
        <w:rPr>
          <w:noProof/>
          <w:color w:val="auto"/>
        </w:rPr>
        <w:t xml:space="preserve"> to understand our current operational </w:t>
      </w:r>
      <w:r w:rsidR="00D75928" w:rsidRPr="00B07F4D">
        <w:rPr>
          <w:noProof/>
          <w:color w:val="auto"/>
        </w:rPr>
        <w:t xml:space="preserve">productivity, </w:t>
      </w:r>
      <w:r w:rsidR="004436DA" w:rsidRPr="00B07F4D">
        <w:rPr>
          <w:noProof/>
          <w:color w:val="auto"/>
        </w:rPr>
        <w:t>we were able to quantify time spent on activities</w:t>
      </w:r>
      <w:r w:rsidR="0071579A" w:rsidRPr="00B07F4D">
        <w:rPr>
          <w:noProof/>
          <w:color w:val="auto"/>
        </w:rPr>
        <w:t xml:space="preserve">. </w:t>
      </w:r>
      <w:r w:rsidR="00472112" w:rsidRPr="00B07F4D">
        <w:rPr>
          <w:noProof/>
          <w:color w:val="auto"/>
        </w:rPr>
        <w:t xml:space="preserve">Most areas </w:t>
      </w:r>
      <w:r w:rsidR="00D75767">
        <w:rPr>
          <w:noProof/>
          <w:color w:val="auto"/>
        </w:rPr>
        <w:t>are</w:t>
      </w:r>
      <w:r w:rsidR="00B952A6" w:rsidRPr="00B07F4D">
        <w:rPr>
          <w:noProof/>
          <w:color w:val="auto"/>
        </w:rPr>
        <w:t xml:space="preserve"> </w:t>
      </w:r>
      <w:r w:rsidR="00F43446" w:rsidRPr="00B07F4D">
        <w:rPr>
          <w:noProof/>
          <w:color w:val="auto"/>
        </w:rPr>
        <w:t>aligned to our assumptions</w:t>
      </w:r>
      <w:r w:rsidR="00DD532D" w:rsidRPr="00B07F4D">
        <w:rPr>
          <w:noProof/>
          <w:color w:val="auto"/>
        </w:rPr>
        <w:t xml:space="preserve">, with </w:t>
      </w:r>
      <w:r w:rsidR="007E7636" w:rsidRPr="00B07F4D">
        <w:rPr>
          <w:noProof/>
          <w:color w:val="auto"/>
        </w:rPr>
        <w:t xml:space="preserve">general </w:t>
      </w:r>
      <w:r w:rsidR="00BC3B52" w:rsidRPr="00B07F4D">
        <w:rPr>
          <w:noProof/>
          <w:color w:val="auto"/>
        </w:rPr>
        <w:t>“Station Routines”</w:t>
      </w:r>
      <w:r w:rsidR="00A37C8B" w:rsidRPr="00B07F4D">
        <w:rPr>
          <w:noProof/>
          <w:color w:val="auto"/>
        </w:rPr>
        <w:t xml:space="preserve"> </w:t>
      </w:r>
      <w:r w:rsidR="00DD532D" w:rsidRPr="00B07F4D">
        <w:rPr>
          <w:noProof/>
          <w:color w:val="auto"/>
        </w:rPr>
        <w:t>being</w:t>
      </w:r>
      <w:r w:rsidR="00B50F48" w:rsidRPr="00B07F4D">
        <w:rPr>
          <w:noProof/>
          <w:color w:val="auto"/>
        </w:rPr>
        <w:t xml:space="preserve"> identified</w:t>
      </w:r>
      <w:r w:rsidR="0057110B" w:rsidRPr="00B07F4D">
        <w:rPr>
          <w:noProof/>
          <w:color w:val="auto"/>
        </w:rPr>
        <w:t xml:space="preserve"> </w:t>
      </w:r>
      <w:r w:rsidR="00FD2B28" w:rsidRPr="00B07F4D">
        <w:rPr>
          <w:noProof/>
          <w:color w:val="auto"/>
        </w:rPr>
        <w:t>to</w:t>
      </w:r>
      <w:r w:rsidR="00BC3B52" w:rsidRPr="00B07F4D">
        <w:rPr>
          <w:noProof/>
          <w:color w:val="auto"/>
        </w:rPr>
        <w:t xml:space="preserve"> </w:t>
      </w:r>
      <w:r w:rsidR="00023130" w:rsidRPr="00B07F4D">
        <w:rPr>
          <w:noProof/>
          <w:color w:val="auto"/>
        </w:rPr>
        <w:t>provid</w:t>
      </w:r>
      <w:r w:rsidR="00FD2B28" w:rsidRPr="00B07F4D">
        <w:rPr>
          <w:noProof/>
          <w:color w:val="auto"/>
        </w:rPr>
        <w:t>e</w:t>
      </w:r>
      <w:r w:rsidR="00023130" w:rsidRPr="00B07F4D">
        <w:rPr>
          <w:noProof/>
          <w:color w:val="auto"/>
        </w:rPr>
        <w:t xml:space="preserve"> </w:t>
      </w:r>
      <w:r w:rsidR="004E4A6D" w:rsidRPr="00B07F4D">
        <w:rPr>
          <w:noProof/>
          <w:color w:val="auto"/>
        </w:rPr>
        <w:t xml:space="preserve">an </w:t>
      </w:r>
      <w:r w:rsidR="00023130" w:rsidRPr="00B07F4D">
        <w:rPr>
          <w:noProof/>
          <w:color w:val="auto"/>
        </w:rPr>
        <w:t xml:space="preserve">opportunity to </w:t>
      </w:r>
      <w:r w:rsidR="00BC4EE5" w:rsidRPr="00B07F4D">
        <w:rPr>
          <w:noProof/>
          <w:color w:val="auto"/>
        </w:rPr>
        <w:t>release capacity</w:t>
      </w:r>
      <w:r w:rsidR="00F45344" w:rsidRPr="00B07F4D">
        <w:rPr>
          <w:noProof/>
          <w:color w:val="auto"/>
        </w:rPr>
        <w:t xml:space="preserve"> </w:t>
      </w:r>
      <w:r w:rsidR="000A20BB" w:rsidRPr="00B07F4D">
        <w:rPr>
          <w:noProof/>
          <w:color w:val="auto"/>
        </w:rPr>
        <w:t xml:space="preserve">and </w:t>
      </w:r>
      <w:r w:rsidR="00E43DDB" w:rsidRPr="00B07F4D">
        <w:rPr>
          <w:noProof/>
          <w:color w:val="auto"/>
        </w:rPr>
        <w:t xml:space="preserve">increase </w:t>
      </w:r>
      <w:r w:rsidR="00817D06" w:rsidRPr="00B07F4D">
        <w:rPr>
          <w:noProof/>
          <w:color w:val="auto"/>
        </w:rPr>
        <w:t xml:space="preserve">productivity by </w:t>
      </w:r>
      <w:r w:rsidR="0003119B">
        <w:rPr>
          <w:noProof/>
          <w:color w:val="auto"/>
        </w:rPr>
        <w:t>o</w:t>
      </w:r>
      <w:r w:rsidR="00966700" w:rsidRPr="00B07F4D">
        <w:rPr>
          <w:noProof/>
          <w:color w:val="auto"/>
        </w:rPr>
        <w:t xml:space="preserve">perational </w:t>
      </w:r>
      <w:r w:rsidR="0003119B">
        <w:rPr>
          <w:noProof/>
          <w:color w:val="auto"/>
        </w:rPr>
        <w:t>c</w:t>
      </w:r>
      <w:r w:rsidR="00966700" w:rsidRPr="00B07F4D">
        <w:rPr>
          <w:noProof/>
          <w:color w:val="auto"/>
        </w:rPr>
        <w:t>rews.</w:t>
      </w:r>
    </w:p>
    <w:p w14:paraId="23A1B927" w14:textId="07556FAC" w:rsidR="00E56475" w:rsidRDefault="59C203A3" w:rsidP="2CEAE50F">
      <w:pPr>
        <w:jc w:val="both"/>
        <w:rPr>
          <w:rFonts w:eastAsia="Arial" w:cs="Arial"/>
        </w:rPr>
      </w:pPr>
      <w:r w:rsidRPr="2CEAE50F">
        <w:rPr>
          <w:rFonts w:eastAsia="Arial" w:cs="Arial"/>
        </w:rPr>
        <w:t xml:space="preserve">Analysis of the data </w:t>
      </w:r>
      <w:r w:rsidR="0FEF1B00" w:rsidRPr="2CEAE50F">
        <w:rPr>
          <w:rFonts w:eastAsia="Arial" w:cs="Arial"/>
        </w:rPr>
        <w:t>highlight</w:t>
      </w:r>
      <w:r w:rsidRPr="2CEAE50F">
        <w:rPr>
          <w:rFonts w:eastAsia="Arial" w:cs="Arial"/>
        </w:rPr>
        <w:t xml:space="preserve">ed an opportunity to reduce the time spent on “Station Routine” activity which covers such areas as shift handover, checking and testing of </w:t>
      </w:r>
      <w:r w:rsidRPr="2CEAE50F">
        <w:rPr>
          <w:rFonts w:eastAsia="Arial" w:cs="Arial"/>
        </w:rPr>
        <w:lastRenderedPageBreak/>
        <w:t xml:space="preserve">equipment, </w:t>
      </w:r>
      <w:r w:rsidR="5B7F360B" w:rsidRPr="2CEAE50F">
        <w:rPr>
          <w:rFonts w:eastAsia="Arial" w:cs="Arial"/>
        </w:rPr>
        <w:t xml:space="preserve">and </w:t>
      </w:r>
      <w:r w:rsidRPr="2CEAE50F">
        <w:rPr>
          <w:rFonts w:eastAsia="Arial" w:cs="Arial"/>
        </w:rPr>
        <w:t>cleaning</w:t>
      </w:r>
      <w:r w:rsidR="1A598D9C" w:rsidRPr="2CEAE50F">
        <w:rPr>
          <w:rFonts w:eastAsia="Arial" w:cs="Arial"/>
        </w:rPr>
        <w:t>;</w:t>
      </w:r>
      <w:r w:rsidRPr="2CEAE50F">
        <w:rPr>
          <w:rFonts w:eastAsia="Arial" w:cs="Arial"/>
        </w:rPr>
        <w:t xml:space="preserve"> by amending and updating current practices and procedures but without compromising safety.</w:t>
      </w:r>
    </w:p>
    <w:p w14:paraId="07288523" w14:textId="49662712" w:rsidR="00E56475" w:rsidRDefault="59C203A3" w:rsidP="009148CC">
      <w:pPr>
        <w:jc w:val="both"/>
        <w:rPr>
          <w:rFonts w:eastAsia="Arial" w:cs="Arial"/>
          <w:szCs w:val="24"/>
        </w:rPr>
      </w:pPr>
      <w:r w:rsidRPr="6238DB37">
        <w:rPr>
          <w:rFonts w:eastAsia="Arial" w:cs="Arial"/>
          <w:szCs w:val="24"/>
        </w:rPr>
        <w:t>Reducing the Station Routine by 30 minutes to four hours per day will release 6,500 hours per year across the Service that can be repurposed into productive activity.</w:t>
      </w:r>
    </w:p>
    <w:p w14:paraId="340DF548" w14:textId="2A243085" w:rsidR="00E56475" w:rsidRDefault="59C203A3" w:rsidP="009148CC">
      <w:pPr>
        <w:jc w:val="both"/>
        <w:rPr>
          <w:rFonts w:eastAsia="Arial" w:cs="Arial"/>
          <w:szCs w:val="24"/>
        </w:rPr>
      </w:pPr>
      <w:r w:rsidRPr="6238DB37">
        <w:rPr>
          <w:rFonts w:eastAsia="Arial" w:cs="Arial"/>
          <w:szCs w:val="24"/>
        </w:rPr>
        <w:t xml:space="preserve">A proportion of these hours will be ringfenced for </w:t>
      </w:r>
      <w:r w:rsidRPr="6238DB37">
        <w:rPr>
          <w:rFonts w:eastAsia="Arial" w:cs="Arial"/>
          <w:i/>
          <w:iCs/>
          <w:szCs w:val="24"/>
        </w:rPr>
        <w:t>reactive</w:t>
      </w:r>
      <w:r w:rsidRPr="6238DB37">
        <w:rPr>
          <w:rFonts w:eastAsia="Arial" w:cs="Arial"/>
          <w:szCs w:val="24"/>
        </w:rPr>
        <w:t xml:space="preserve"> public safety interventions whilst the remaining hours will be used for </w:t>
      </w:r>
      <w:r w:rsidRPr="6238DB37">
        <w:rPr>
          <w:rFonts w:eastAsia="Arial" w:cs="Arial"/>
          <w:i/>
          <w:iCs/>
          <w:szCs w:val="24"/>
        </w:rPr>
        <w:t xml:space="preserve">proactive </w:t>
      </w:r>
      <w:r w:rsidRPr="6238DB37">
        <w:rPr>
          <w:rFonts w:eastAsia="Arial" w:cs="Arial"/>
          <w:szCs w:val="24"/>
        </w:rPr>
        <w:t>prevention and protection work by operational crews.</w:t>
      </w:r>
    </w:p>
    <w:p w14:paraId="4CCE7B1C" w14:textId="628FBCD0" w:rsidR="00E56475" w:rsidRDefault="59C203A3" w:rsidP="007F79F9">
      <w:pPr>
        <w:pStyle w:val="Heading3"/>
      </w:pPr>
      <w:r w:rsidRPr="6238DB37">
        <w:t>Reactive Prevention and Protection Activities</w:t>
      </w:r>
    </w:p>
    <w:p w14:paraId="1B3115EB" w14:textId="3FDD741B" w:rsidR="00E56475" w:rsidRDefault="59C203A3" w:rsidP="009148CC">
      <w:pPr>
        <w:jc w:val="both"/>
        <w:rPr>
          <w:rFonts w:eastAsia="Arial" w:cs="Arial"/>
          <w:szCs w:val="24"/>
        </w:rPr>
      </w:pPr>
      <w:r w:rsidRPr="6238DB37">
        <w:rPr>
          <w:rFonts w:eastAsia="Arial" w:cs="Arial"/>
          <w:szCs w:val="24"/>
        </w:rPr>
        <w:t xml:space="preserve">Reactive activities can be described as prevention or protection work undertaken by operational crews at short notice in response to an unplanned event or developing situation, in particular severe weather events. </w:t>
      </w:r>
    </w:p>
    <w:p w14:paraId="6FC478BC" w14:textId="17570595" w:rsidR="00E56475" w:rsidRDefault="59C203A3" w:rsidP="2CEAE50F">
      <w:pPr>
        <w:jc w:val="both"/>
        <w:rPr>
          <w:rFonts w:eastAsia="Arial" w:cs="Arial"/>
        </w:rPr>
      </w:pPr>
      <w:r w:rsidRPr="2CEAE50F">
        <w:rPr>
          <w:rFonts w:eastAsia="Arial" w:cs="Arial"/>
        </w:rPr>
        <w:t xml:space="preserve">Such an example is the wildfire and water safety prevention activities carried out by operational crews during the severe hot weather period in July and August 2022. The Met Office had issued an Amber warning, followed for the first time ever </w:t>
      </w:r>
      <w:r w:rsidR="4071A793" w:rsidRPr="2CEAE50F">
        <w:rPr>
          <w:rFonts w:eastAsia="Arial" w:cs="Arial"/>
        </w:rPr>
        <w:t>in</w:t>
      </w:r>
      <w:r w:rsidRPr="2CEAE50F">
        <w:rPr>
          <w:rFonts w:eastAsia="Arial" w:cs="Arial"/>
        </w:rPr>
        <w:t xml:space="preserve"> the UK, </w:t>
      </w:r>
      <w:r w:rsidR="3EE9A1B7" w:rsidRPr="2CEAE50F">
        <w:rPr>
          <w:rFonts w:eastAsia="Arial" w:cs="Arial"/>
        </w:rPr>
        <w:t xml:space="preserve">by </w:t>
      </w:r>
      <w:r w:rsidRPr="2CEAE50F">
        <w:rPr>
          <w:rFonts w:eastAsia="Arial" w:cs="Arial"/>
        </w:rPr>
        <w:t xml:space="preserve">a Red Extreme Heat Warning. Operational crews were deployed at short notice to 35 high risk water and wildfire sites to undertake patrols engage with the public to deter high risk activities such as unauthorised open water swimming, </w:t>
      </w:r>
      <w:r w:rsidR="6C48DBE2" w:rsidRPr="2CEAE50F">
        <w:rPr>
          <w:rFonts w:eastAsia="Arial" w:cs="Arial"/>
        </w:rPr>
        <w:t xml:space="preserve">and </w:t>
      </w:r>
      <w:r w:rsidRPr="2CEAE50F">
        <w:rPr>
          <w:rFonts w:eastAsia="Arial" w:cs="Arial"/>
        </w:rPr>
        <w:t>use of BBQs.</w:t>
      </w:r>
    </w:p>
    <w:p w14:paraId="50852A00" w14:textId="21FC4C58" w:rsidR="00E56475" w:rsidRDefault="59C203A3" w:rsidP="009148CC">
      <w:pPr>
        <w:jc w:val="both"/>
        <w:rPr>
          <w:rFonts w:eastAsia="Arial" w:cs="Arial"/>
          <w:szCs w:val="24"/>
        </w:rPr>
      </w:pPr>
      <w:r w:rsidRPr="6238DB37">
        <w:rPr>
          <w:rFonts w:eastAsia="Arial" w:cs="Arial"/>
          <w:szCs w:val="24"/>
        </w:rPr>
        <w:t>Following an evaluation of this activity, it is proposed to introduce Heatwave Business Continuity Management (BCM) prevention plans that will be activated on the issuing</w:t>
      </w:r>
      <w:r w:rsidR="04F8F107" w:rsidRPr="6238DB37">
        <w:rPr>
          <w:rFonts w:eastAsia="Arial" w:cs="Arial"/>
          <w:szCs w:val="24"/>
        </w:rPr>
        <w:t xml:space="preserve"> of a</w:t>
      </w:r>
      <w:r w:rsidRPr="6238DB37">
        <w:rPr>
          <w:rFonts w:eastAsia="Arial" w:cs="Arial"/>
          <w:szCs w:val="24"/>
        </w:rPr>
        <w:t xml:space="preserve"> Met Office of Amber and Red Heat Warning</w:t>
      </w:r>
      <w:r w:rsidR="00DE18D5">
        <w:rPr>
          <w:rFonts w:eastAsia="Arial" w:cs="Arial"/>
          <w:szCs w:val="24"/>
        </w:rPr>
        <w:t>.  This will</w:t>
      </w:r>
      <w:r w:rsidRPr="6238DB37">
        <w:rPr>
          <w:rFonts w:eastAsia="Arial" w:cs="Arial"/>
          <w:szCs w:val="24"/>
        </w:rPr>
        <w:t xml:space="preserve"> deploy operational crews to known risk sites to carry out short notice prevention intervention activities.</w:t>
      </w:r>
    </w:p>
    <w:p w14:paraId="7AA41EE5" w14:textId="76747396" w:rsidR="00E56475" w:rsidRDefault="59C203A3" w:rsidP="009148CC">
      <w:pPr>
        <w:jc w:val="both"/>
        <w:rPr>
          <w:rFonts w:eastAsia="Arial" w:cs="Arial"/>
          <w:szCs w:val="24"/>
        </w:rPr>
      </w:pPr>
      <w:r w:rsidRPr="6238DB37">
        <w:rPr>
          <w:rFonts w:eastAsia="Arial" w:cs="Arial"/>
          <w:szCs w:val="24"/>
        </w:rPr>
        <w:t>Reactive hours will also be used to deploy operational crews for other climate change prevention activities such as response to flood warnings.</w:t>
      </w:r>
    </w:p>
    <w:p w14:paraId="03F5A832" w14:textId="701E8FE5" w:rsidR="00E56475" w:rsidRDefault="59C203A3" w:rsidP="009148CC">
      <w:pPr>
        <w:jc w:val="both"/>
        <w:rPr>
          <w:rFonts w:eastAsia="Arial" w:cs="Arial"/>
          <w:szCs w:val="24"/>
        </w:rPr>
      </w:pPr>
      <w:r w:rsidRPr="6238DB37">
        <w:rPr>
          <w:rFonts w:eastAsia="Arial" w:cs="Arial"/>
          <w:szCs w:val="24"/>
        </w:rPr>
        <w:t>During the 23/24</w:t>
      </w:r>
      <w:r w:rsidR="00AE21D0">
        <w:rPr>
          <w:rFonts w:eastAsia="Arial" w:cs="Arial"/>
          <w:szCs w:val="24"/>
        </w:rPr>
        <w:t xml:space="preserve"> </w:t>
      </w:r>
      <w:r w:rsidRPr="6238DB37">
        <w:rPr>
          <w:rFonts w:eastAsia="Arial" w:cs="Arial"/>
          <w:szCs w:val="24"/>
        </w:rPr>
        <w:t xml:space="preserve">and </w:t>
      </w:r>
      <w:r w:rsidR="00AE21D0">
        <w:rPr>
          <w:rFonts w:eastAsia="Arial" w:cs="Arial"/>
          <w:szCs w:val="24"/>
        </w:rPr>
        <w:t>24/25</w:t>
      </w:r>
      <w:r w:rsidR="000253D9">
        <w:rPr>
          <w:rFonts w:eastAsia="Arial" w:cs="Arial"/>
          <w:szCs w:val="24"/>
        </w:rPr>
        <w:t>,</w:t>
      </w:r>
      <w:r w:rsidRPr="6238DB37">
        <w:rPr>
          <w:rFonts w:eastAsia="Arial" w:cs="Arial"/>
          <w:szCs w:val="24"/>
        </w:rPr>
        <w:t xml:space="preserve"> 2,000 hours will be allocated to reactive productive work.</w:t>
      </w:r>
    </w:p>
    <w:p w14:paraId="3E58A252" w14:textId="488793C7" w:rsidR="00E56475" w:rsidRDefault="59C203A3" w:rsidP="2CEAE50F">
      <w:pPr>
        <w:jc w:val="both"/>
        <w:rPr>
          <w:rFonts w:eastAsia="Arial" w:cs="Arial"/>
        </w:rPr>
      </w:pPr>
      <w:r w:rsidRPr="2CEAE50F">
        <w:rPr>
          <w:rFonts w:eastAsia="Arial" w:cs="Arial"/>
        </w:rPr>
        <w:t>The amount of outstanding reactive hours will be reviewed on a quarterly basis</w:t>
      </w:r>
      <w:r w:rsidR="0BA1ECBE" w:rsidRPr="2CEAE50F">
        <w:rPr>
          <w:rFonts w:eastAsia="Arial" w:cs="Arial"/>
        </w:rPr>
        <w:t>.</w:t>
      </w:r>
      <w:r w:rsidRPr="2CEAE50F">
        <w:rPr>
          <w:rFonts w:eastAsia="Arial" w:cs="Arial"/>
        </w:rPr>
        <w:t xml:space="preserve"> </w:t>
      </w:r>
      <w:r w:rsidR="621182F3" w:rsidRPr="2CEAE50F">
        <w:rPr>
          <w:rFonts w:eastAsia="Arial" w:cs="Arial"/>
        </w:rPr>
        <w:t>A</w:t>
      </w:r>
      <w:r w:rsidRPr="2CEAE50F">
        <w:rPr>
          <w:rFonts w:eastAsia="Arial" w:cs="Arial"/>
        </w:rPr>
        <w:t>ny build-up of surplus hours will be either carried forward to the next quarter or reallocated into proactive prevention or protection work.</w:t>
      </w:r>
    </w:p>
    <w:p w14:paraId="4A02F1D6" w14:textId="3A69F009" w:rsidR="00E56475" w:rsidRDefault="59C203A3" w:rsidP="009148CC">
      <w:pPr>
        <w:jc w:val="both"/>
        <w:rPr>
          <w:rFonts w:eastAsia="Arial" w:cs="Arial"/>
          <w:szCs w:val="24"/>
        </w:rPr>
      </w:pPr>
      <w:r w:rsidRPr="6238DB37">
        <w:rPr>
          <w:rFonts w:eastAsia="Arial" w:cs="Arial"/>
          <w:b/>
          <w:bCs/>
          <w:szCs w:val="24"/>
        </w:rPr>
        <w:t>Productivity Measure:</w:t>
      </w:r>
      <w:r w:rsidRPr="6238DB37">
        <w:rPr>
          <w:rFonts w:eastAsia="Arial" w:cs="Arial"/>
          <w:szCs w:val="24"/>
        </w:rPr>
        <w:t xml:space="preserve"> details of all prevention activities undertaken by operational crews </w:t>
      </w:r>
      <w:r w:rsidRPr="6238DB37">
        <w:rPr>
          <w:rFonts w:eastAsia="Arial" w:cs="Arial"/>
          <w:i/>
          <w:iCs/>
          <w:szCs w:val="24"/>
        </w:rPr>
        <w:t>except HFSAs</w:t>
      </w:r>
      <w:r w:rsidRPr="6238DB37">
        <w:rPr>
          <w:rFonts w:eastAsia="Arial" w:cs="Arial"/>
          <w:szCs w:val="24"/>
        </w:rPr>
        <w:t xml:space="preserve"> are entered onto the GMFRS “Community Engagement App” by </w:t>
      </w:r>
      <w:r w:rsidRPr="6238DB37">
        <w:rPr>
          <w:rFonts w:eastAsia="Arial" w:cs="Arial"/>
          <w:szCs w:val="24"/>
        </w:rPr>
        <w:lastRenderedPageBreak/>
        <w:t xml:space="preserve">the Watch Officer. Details of HFSAs completed are entered onto the “HFSA Intervention Tool” by the member of the crew who led the HFSA visit. </w:t>
      </w:r>
    </w:p>
    <w:p w14:paraId="58DA7365" w14:textId="47015ACF" w:rsidR="00E56475" w:rsidRDefault="59C203A3" w:rsidP="009148CC">
      <w:pPr>
        <w:jc w:val="both"/>
        <w:rPr>
          <w:rFonts w:eastAsia="Arial" w:cs="Arial"/>
          <w:szCs w:val="24"/>
        </w:rPr>
      </w:pPr>
      <w:r w:rsidRPr="6238DB37">
        <w:rPr>
          <w:rFonts w:eastAsia="Arial" w:cs="Arial"/>
          <w:szCs w:val="24"/>
        </w:rPr>
        <w:t>Both tools can provide data to measure productivity across prevention and HFSA activities in terms of hours used by crews or number of HFSAs completed within a reporting period.</w:t>
      </w:r>
    </w:p>
    <w:p w14:paraId="2DE85A5B" w14:textId="470C1A7D" w:rsidR="00E56475" w:rsidRDefault="59C203A3" w:rsidP="007F79F9">
      <w:pPr>
        <w:pStyle w:val="Heading3"/>
      </w:pPr>
      <w:r w:rsidRPr="6238DB37">
        <w:t>Proactive Prevention and Protection Activities</w:t>
      </w:r>
    </w:p>
    <w:p w14:paraId="1C18D024" w14:textId="78B717AE" w:rsidR="00E56475" w:rsidRDefault="59C203A3">
      <w:pPr>
        <w:rPr>
          <w:rFonts w:eastAsia="Arial" w:cs="Arial"/>
          <w:szCs w:val="24"/>
        </w:rPr>
      </w:pPr>
      <w:r w:rsidRPr="6238DB37">
        <w:rPr>
          <w:rFonts w:eastAsia="Arial" w:cs="Arial"/>
          <w:szCs w:val="24"/>
        </w:rPr>
        <w:t>Proactive prevention and protection activities covers pre-planned work, visits, inspections, and campaigns to be delivered by operational crews throughout the twelve-month period.</w:t>
      </w:r>
    </w:p>
    <w:p w14:paraId="36307909" w14:textId="5F7A6DE0" w:rsidR="00E56475" w:rsidRDefault="59C203A3">
      <w:pPr>
        <w:rPr>
          <w:rFonts w:eastAsia="Arial" w:cs="Arial"/>
          <w:szCs w:val="24"/>
        </w:rPr>
      </w:pPr>
      <w:r w:rsidRPr="6238DB37">
        <w:rPr>
          <w:rFonts w:eastAsia="Arial" w:cs="Arial"/>
          <w:szCs w:val="24"/>
        </w:rPr>
        <w:t>Table 1 below provides a summary of completed activities by operational crews for the reporting periods of 21/22 and 22/23, and the projected growth in productivity for the periods 23/24 and 24/25 across six prevention/protection activities.</w:t>
      </w:r>
    </w:p>
    <w:tbl>
      <w:tblPr>
        <w:tblStyle w:val="TableGrid"/>
        <w:tblW w:w="9015" w:type="dxa"/>
        <w:tblLayout w:type="fixed"/>
        <w:tblLook w:val="04A0" w:firstRow="1" w:lastRow="0" w:firstColumn="1" w:lastColumn="0" w:noHBand="0" w:noVBand="1"/>
      </w:tblPr>
      <w:tblGrid>
        <w:gridCol w:w="3100"/>
        <w:gridCol w:w="1568"/>
        <w:gridCol w:w="1418"/>
        <w:gridCol w:w="1417"/>
        <w:gridCol w:w="1512"/>
      </w:tblGrid>
      <w:tr w:rsidR="6238DB37" w14:paraId="0D081ECB"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vAlign w:val="center"/>
          </w:tcPr>
          <w:p w14:paraId="5C95D3EE" w14:textId="5972F632" w:rsidR="6238DB37" w:rsidRDefault="6238DB37" w:rsidP="00641AB7">
            <w:pPr>
              <w:spacing w:line="240" w:lineRule="auto"/>
              <w:rPr>
                <w:rFonts w:eastAsia="Arial" w:cs="Arial"/>
                <w:b/>
                <w:bCs/>
                <w:color w:val="FFFFFF" w:themeColor="accent6"/>
                <w:szCs w:val="24"/>
              </w:rPr>
            </w:pPr>
            <w:r w:rsidRPr="6238DB37">
              <w:rPr>
                <w:rFonts w:eastAsia="Arial" w:cs="Arial"/>
                <w:b/>
                <w:bCs/>
                <w:color w:val="FFFFFF" w:themeColor="accent6"/>
                <w:szCs w:val="24"/>
              </w:rPr>
              <w:t>Activity</w:t>
            </w:r>
          </w:p>
        </w:tc>
        <w:tc>
          <w:tcPr>
            <w:tcW w:w="1568"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vAlign w:val="center"/>
          </w:tcPr>
          <w:p w14:paraId="231687F1" w14:textId="133030AE" w:rsidR="6238DB37" w:rsidRDefault="6238DB37" w:rsidP="003B55EE">
            <w:pPr>
              <w:spacing w:line="240" w:lineRule="auto"/>
              <w:jc w:val="center"/>
              <w:rPr>
                <w:rFonts w:eastAsia="Arial" w:cs="Arial"/>
                <w:b/>
                <w:bCs/>
                <w:color w:val="FFFFFF" w:themeColor="accent6"/>
                <w:szCs w:val="24"/>
              </w:rPr>
            </w:pPr>
            <w:r w:rsidRPr="6238DB37">
              <w:rPr>
                <w:rFonts w:eastAsia="Arial" w:cs="Arial"/>
                <w:b/>
                <w:bCs/>
                <w:color w:val="FFFFFF" w:themeColor="accent6"/>
                <w:szCs w:val="24"/>
              </w:rPr>
              <w:t>21/22</w:t>
            </w:r>
            <w:r w:rsidR="00317891">
              <w:rPr>
                <w:rFonts w:eastAsia="Arial" w:cs="Arial"/>
                <w:b/>
                <w:bCs/>
                <w:color w:val="FFFFFF" w:themeColor="accent6"/>
                <w:szCs w:val="24"/>
              </w:rPr>
              <w:t>*</w:t>
            </w:r>
          </w:p>
        </w:tc>
        <w:tc>
          <w:tcPr>
            <w:tcW w:w="1418"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vAlign w:val="center"/>
          </w:tcPr>
          <w:p w14:paraId="1061FCA6" w14:textId="74F53D7C" w:rsidR="6238DB37" w:rsidRDefault="6238DB37" w:rsidP="003B55EE">
            <w:pPr>
              <w:spacing w:line="240" w:lineRule="auto"/>
              <w:jc w:val="center"/>
              <w:rPr>
                <w:rFonts w:eastAsia="Arial" w:cs="Arial"/>
                <w:b/>
                <w:bCs/>
                <w:color w:val="FFFFFF" w:themeColor="accent6"/>
                <w:szCs w:val="24"/>
              </w:rPr>
            </w:pPr>
            <w:r w:rsidRPr="6238DB37">
              <w:rPr>
                <w:rFonts w:eastAsia="Arial" w:cs="Arial"/>
                <w:b/>
                <w:bCs/>
                <w:color w:val="FFFFFF" w:themeColor="accent6"/>
                <w:szCs w:val="24"/>
              </w:rPr>
              <w:t>22/23</w:t>
            </w:r>
          </w:p>
        </w:tc>
        <w:tc>
          <w:tcPr>
            <w:tcW w:w="1417"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vAlign w:val="center"/>
          </w:tcPr>
          <w:p w14:paraId="2CE80B99" w14:textId="633D1742" w:rsidR="6238DB37" w:rsidRDefault="6238DB37" w:rsidP="003B55EE">
            <w:pPr>
              <w:spacing w:line="240" w:lineRule="auto"/>
              <w:jc w:val="center"/>
              <w:rPr>
                <w:rFonts w:eastAsia="Arial" w:cs="Arial"/>
                <w:b/>
                <w:bCs/>
                <w:color w:val="FFFFFF" w:themeColor="accent6"/>
                <w:szCs w:val="24"/>
              </w:rPr>
            </w:pPr>
            <w:r w:rsidRPr="6238DB37">
              <w:rPr>
                <w:rFonts w:eastAsia="Arial" w:cs="Arial"/>
                <w:b/>
                <w:bCs/>
                <w:color w:val="FFFFFF" w:themeColor="accent6"/>
                <w:szCs w:val="24"/>
              </w:rPr>
              <w:t>23/24</w:t>
            </w:r>
          </w:p>
        </w:tc>
        <w:tc>
          <w:tcPr>
            <w:tcW w:w="1512" w:type="dxa"/>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vAlign w:val="center"/>
          </w:tcPr>
          <w:p w14:paraId="7789B860" w14:textId="77ED101E" w:rsidR="6238DB37" w:rsidRDefault="6238DB37" w:rsidP="003B55EE">
            <w:pPr>
              <w:spacing w:line="240" w:lineRule="auto"/>
              <w:jc w:val="center"/>
              <w:rPr>
                <w:rFonts w:eastAsia="Arial" w:cs="Arial"/>
                <w:b/>
                <w:bCs/>
                <w:color w:val="FFFFFF" w:themeColor="accent6"/>
                <w:szCs w:val="24"/>
              </w:rPr>
            </w:pPr>
            <w:r w:rsidRPr="6238DB37">
              <w:rPr>
                <w:rFonts w:eastAsia="Arial" w:cs="Arial"/>
                <w:b/>
                <w:bCs/>
                <w:color w:val="FFFFFF" w:themeColor="accent6"/>
                <w:szCs w:val="24"/>
              </w:rPr>
              <w:t>24/25</w:t>
            </w:r>
          </w:p>
        </w:tc>
      </w:tr>
      <w:tr w:rsidR="6238DB37" w14:paraId="64C9A8E6"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9DE54" w14:textId="4CCCA4F4" w:rsidR="6238DB37" w:rsidRDefault="6238DB37" w:rsidP="00641AB7">
            <w:pPr>
              <w:spacing w:line="240" w:lineRule="auto"/>
              <w:rPr>
                <w:rFonts w:eastAsia="Arial" w:cs="Arial"/>
                <w:szCs w:val="24"/>
              </w:rPr>
            </w:pPr>
            <w:r w:rsidRPr="6238DB37">
              <w:rPr>
                <w:rFonts w:eastAsia="Arial" w:cs="Arial"/>
                <w:szCs w:val="24"/>
              </w:rPr>
              <w:t>HFSAs</w:t>
            </w:r>
          </w:p>
        </w:tc>
        <w:tc>
          <w:tcPr>
            <w:tcW w:w="156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65989B3" w14:textId="67707618" w:rsidR="6238DB37" w:rsidRPr="00C22243" w:rsidRDefault="0064174F" w:rsidP="003B55EE">
            <w:pPr>
              <w:spacing w:line="240" w:lineRule="auto"/>
              <w:jc w:val="center"/>
              <w:rPr>
                <w:rFonts w:eastAsia="Arial" w:cs="Arial"/>
                <w:color w:val="000000" w:themeColor="text1"/>
                <w:szCs w:val="24"/>
              </w:rPr>
            </w:pPr>
            <w:r w:rsidRPr="00C22243">
              <w:rPr>
                <w:rFonts w:eastAsia="Arial" w:cs="Arial"/>
                <w:color w:val="000000" w:themeColor="text1"/>
                <w:szCs w:val="24"/>
              </w:rPr>
              <w:t>4,977</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E5D24" w14:textId="10272836" w:rsidR="6238DB37" w:rsidRDefault="6238DB37" w:rsidP="003B55EE">
            <w:pPr>
              <w:spacing w:line="240" w:lineRule="auto"/>
              <w:jc w:val="center"/>
              <w:rPr>
                <w:rFonts w:eastAsia="Arial" w:cs="Arial"/>
                <w:szCs w:val="24"/>
              </w:rPr>
            </w:pPr>
            <w:r w:rsidRPr="6238DB37">
              <w:rPr>
                <w:rFonts w:eastAsia="Arial" w:cs="Arial"/>
                <w:szCs w:val="24"/>
              </w:rPr>
              <w:t>18,498</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2612DD" w14:textId="706E7631" w:rsidR="6238DB37" w:rsidRDefault="6238DB37" w:rsidP="003B55EE">
            <w:pPr>
              <w:spacing w:line="240" w:lineRule="auto"/>
              <w:jc w:val="center"/>
              <w:rPr>
                <w:rFonts w:eastAsia="Arial" w:cs="Arial"/>
                <w:szCs w:val="24"/>
              </w:rPr>
            </w:pPr>
            <w:r w:rsidRPr="6238DB37">
              <w:rPr>
                <w:rFonts w:eastAsia="Arial" w:cs="Arial"/>
                <w:szCs w:val="24"/>
              </w:rPr>
              <w:t>27,800</w:t>
            </w:r>
          </w:p>
        </w:tc>
        <w:tc>
          <w:tcPr>
            <w:tcW w:w="1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960107" w14:textId="46D4CF98" w:rsidR="6238DB37" w:rsidRPr="00BD527E" w:rsidRDefault="006A2740" w:rsidP="003B55EE">
            <w:pPr>
              <w:spacing w:line="240" w:lineRule="auto"/>
              <w:jc w:val="center"/>
              <w:rPr>
                <w:rFonts w:eastAsia="Arial" w:cs="Arial"/>
                <w:color w:val="FF0000"/>
                <w:szCs w:val="24"/>
              </w:rPr>
            </w:pPr>
            <w:r w:rsidRPr="00F30616">
              <w:rPr>
                <w:rFonts w:eastAsia="Arial" w:cs="Arial"/>
                <w:color w:val="auto"/>
                <w:szCs w:val="24"/>
              </w:rPr>
              <w:t>29,</w:t>
            </w:r>
            <w:r w:rsidR="00F30616">
              <w:rPr>
                <w:rFonts w:eastAsia="Arial" w:cs="Arial"/>
                <w:color w:val="auto"/>
                <w:szCs w:val="24"/>
              </w:rPr>
              <w:t>0</w:t>
            </w:r>
            <w:r w:rsidRPr="00F30616">
              <w:rPr>
                <w:rFonts w:eastAsia="Arial" w:cs="Arial"/>
                <w:color w:val="auto"/>
                <w:szCs w:val="24"/>
              </w:rPr>
              <w:t>00</w:t>
            </w:r>
          </w:p>
        </w:tc>
      </w:tr>
      <w:tr w:rsidR="6238DB37" w14:paraId="0E52E4D0"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DB704" w14:textId="6ADD41BB" w:rsidR="6238DB37" w:rsidRDefault="6238DB37" w:rsidP="00641AB7">
            <w:pPr>
              <w:spacing w:line="240" w:lineRule="auto"/>
              <w:rPr>
                <w:rFonts w:eastAsia="Arial" w:cs="Arial"/>
                <w:szCs w:val="24"/>
              </w:rPr>
            </w:pPr>
            <w:r w:rsidRPr="6238DB37">
              <w:rPr>
                <w:rFonts w:eastAsia="Arial" w:cs="Arial"/>
                <w:szCs w:val="24"/>
              </w:rPr>
              <w:t>School Visits</w:t>
            </w:r>
          </w:p>
        </w:tc>
        <w:tc>
          <w:tcPr>
            <w:tcW w:w="1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5E4AB9" w14:textId="1AF15EA1" w:rsidR="6238DB37" w:rsidRDefault="6238DB37" w:rsidP="003B55EE">
            <w:pPr>
              <w:spacing w:line="240" w:lineRule="auto"/>
              <w:jc w:val="center"/>
              <w:rPr>
                <w:rFonts w:eastAsia="Arial" w:cs="Arial"/>
                <w:szCs w:val="24"/>
              </w:rPr>
            </w:pPr>
            <w:r w:rsidRPr="6238DB37">
              <w:rPr>
                <w:rFonts w:eastAsia="Arial" w:cs="Arial"/>
                <w:szCs w:val="24"/>
              </w:rPr>
              <w:t>268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F123D7" w14:textId="2ADE3818" w:rsidR="6238DB37" w:rsidRDefault="6238DB37" w:rsidP="003B55EE">
            <w:pPr>
              <w:spacing w:line="240" w:lineRule="auto"/>
              <w:jc w:val="center"/>
              <w:rPr>
                <w:rFonts w:eastAsia="Arial" w:cs="Arial"/>
                <w:szCs w:val="24"/>
              </w:rPr>
            </w:pPr>
            <w:r w:rsidRPr="6238DB37">
              <w:rPr>
                <w:rFonts w:eastAsia="Arial" w:cs="Arial"/>
                <w:szCs w:val="24"/>
              </w:rPr>
              <w:t>466</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9BA18" w14:textId="7FB5700F" w:rsidR="6238DB37" w:rsidRDefault="6238DB37" w:rsidP="003B55EE">
            <w:pPr>
              <w:spacing w:line="240" w:lineRule="auto"/>
              <w:jc w:val="center"/>
              <w:rPr>
                <w:rFonts w:eastAsia="Arial" w:cs="Arial"/>
                <w:szCs w:val="24"/>
              </w:rPr>
            </w:pPr>
            <w:r w:rsidRPr="6238DB37">
              <w:rPr>
                <w:rFonts w:eastAsia="Arial" w:cs="Arial"/>
                <w:szCs w:val="24"/>
              </w:rPr>
              <w:t>1,314</w:t>
            </w:r>
          </w:p>
        </w:tc>
        <w:tc>
          <w:tcPr>
            <w:tcW w:w="1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744AAF" w14:textId="323CE331" w:rsidR="6238DB37" w:rsidRPr="00BD527E" w:rsidRDefault="00903FE5" w:rsidP="003B55EE">
            <w:pPr>
              <w:spacing w:line="240" w:lineRule="auto"/>
              <w:jc w:val="center"/>
              <w:rPr>
                <w:rFonts w:eastAsia="Arial" w:cs="Arial"/>
                <w:color w:val="FF0000"/>
                <w:szCs w:val="24"/>
              </w:rPr>
            </w:pPr>
            <w:r w:rsidRPr="00D273F8">
              <w:rPr>
                <w:rFonts w:eastAsia="Arial" w:cs="Arial"/>
                <w:color w:val="auto"/>
                <w:szCs w:val="24"/>
              </w:rPr>
              <w:t>1</w:t>
            </w:r>
            <w:r w:rsidR="0057427A">
              <w:rPr>
                <w:rFonts w:eastAsia="Arial" w:cs="Arial"/>
                <w:color w:val="auto"/>
                <w:szCs w:val="24"/>
              </w:rPr>
              <w:t>50</w:t>
            </w:r>
            <w:r w:rsidRPr="00D273F8">
              <w:rPr>
                <w:rFonts w:eastAsia="Arial" w:cs="Arial"/>
                <w:color w:val="auto"/>
                <w:szCs w:val="24"/>
              </w:rPr>
              <w:t>0</w:t>
            </w:r>
          </w:p>
        </w:tc>
      </w:tr>
      <w:tr w:rsidR="6238DB37" w14:paraId="7D070B2F"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CF229" w14:textId="2B7D9FB2" w:rsidR="6238DB37" w:rsidRDefault="6238DB37" w:rsidP="00641AB7">
            <w:pPr>
              <w:spacing w:line="240" w:lineRule="auto"/>
              <w:rPr>
                <w:rFonts w:eastAsia="Arial" w:cs="Arial"/>
                <w:szCs w:val="24"/>
              </w:rPr>
            </w:pPr>
            <w:r w:rsidRPr="6238DB37">
              <w:rPr>
                <w:rFonts w:eastAsia="Arial" w:cs="Arial"/>
                <w:szCs w:val="24"/>
              </w:rPr>
              <w:t>Hydrant Inspections</w:t>
            </w:r>
          </w:p>
        </w:tc>
        <w:tc>
          <w:tcPr>
            <w:tcW w:w="1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56A05B" w14:textId="01FCA18B" w:rsidR="6238DB37" w:rsidRDefault="6238DB37" w:rsidP="003B55EE">
            <w:pPr>
              <w:spacing w:line="240" w:lineRule="auto"/>
              <w:jc w:val="center"/>
              <w:rPr>
                <w:rFonts w:eastAsia="Arial" w:cs="Arial"/>
                <w:szCs w:val="24"/>
              </w:rPr>
            </w:pPr>
            <w:r w:rsidRPr="6238DB37">
              <w:rPr>
                <w:rFonts w:eastAsia="Arial" w:cs="Arial"/>
                <w:szCs w:val="24"/>
              </w:rPr>
              <w:t>884</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33AC8E" w14:textId="2ED8514E" w:rsidR="6238DB37" w:rsidRDefault="6238DB37" w:rsidP="003B55EE">
            <w:pPr>
              <w:spacing w:line="240" w:lineRule="auto"/>
              <w:jc w:val="center"/>
              <w:rPr>
                <w:rFonts w:eastAsia="Arial" w:cs="Arial"/>
                <w:szCs w:val="24"/>
              </w:rPr>
            </w:pPr>
            <w:r w:rsidRPr="6238DB37">
              <w:rPr>
                <w:rFonts w:eastAsia="Arial" w:cs="Arial"/>
                <w:szCs w:val="24"/>
              </w:rPr>
              <w:t>1,447</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98F93E" w14:textId="370327F5" w:rsidR="6238DB37" w:rsidRDefault="6238DB37" w:rsidP="003B55EE">
            <w:pPr>
              <w:spacing w:line="240" w:lineRule="auto"/>
              <w:jc w:val="center"/>
              <w:rPr>
                <w:rFonts w:eastAsia="Arial" w:cs="Arial"/>
                <w:szCs w:val="24"/>
              </w:rPr>
            </w:pPr>
            <w:r w:rsidRPr="6238DB37">
              <w:rPr>
                <w:rFonts w:eastAsia="Arial" w:cs="Arial"/>
                <w:szCs w:val="24"/>
              </w:rPr>
              <w:t>2,500</w:t>
            </w:r>
          </w:p>
        </w:tc>
        <w:tc>
          <w:tcPr>
            <w:tcW w:w="1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03FEA" w14:textId="4D603A17" w:rsidR="6238DB37" w:rsidRPr="00BD527E" w:rsidRDefault="6238DB37" w:rsidP="003B55EE">
            <w:pPr>
              <w:spacing w:line="240" w:lineRule="auto"/>
              <w:jc w:val="center"/>
              <w:rPr>
                <w:rFonts w:eastAsia="Arial" w:cs="Arial"/>
                <w:color w:val="FF0000"/>
                <w:szCs w:val="24"/>
              </w:rPr>
            </w:pPr>
            <w:r w:rsidRPr="007144C8">
              <w:rPr>
                <w:rFonts w:eastAsia="Arial" w:cs="Arial"/>
                <w:color w:val="auto"/>
                <w:szCs w:val="24"/>
              </w:rPr>
              <w:t>3,000</w:t>
            </w:r>
          </w:p>
        </w:tc>
      </w:tr>
      <w:tr w:rsidR="6238DB37" w14:paraId="741ED60E"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D45EE9" w14:textId="301AB442" w:rsidR="6238DB37" w:rsidRDefault="00FD6651" w:rsidP="00641AB7">
            <w:pPr>
              <w:spacing w:line="240" w:lineRule="auto"/>
              <w:rPr>
                <w:rFonts w:eastAsia="Arial" w:cs="Arial"/>
                <w:szCs w:val="24"/>
              </w:rPr>
            </w:pPr>
            <w:r w:rsidRPr="00FD6651">
              <w:rPr>
                <w:rFonts w:eastAsia="Arial" w:cs="Arial"/>
                <w:szCs w:val="24"/>
              </w:rPr>
              <w:t>7(2)(d)</w:t>
            </w:r>
            <w:r w:rsidR="6238DB37" w:rsidRPr="6238DB37">
              <w:rPr>
                <w:rFonts w:eastAsia="Arial" w:cs="Arial"/>
                <w:szCs w:val="24"/>
              </w:rPr>
              <w:t xml:space="preserve"> Visits</w:t>
            </w:r>
            <w:r w:rsidR="00FB73D9">
              <w:rPr>
                <w:rFonts w:eastAsia="Arial" w:cs="Arial"/>
                <w:szCs w:val="24"/>
              </w:rPr>
              <w:t>**</w:t>
            </w:r>
          </w:p>
        </w:tc>
        <w:tc>
          <w:tcPr>
            <w:tcW w:w="1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25B1DA" w14:textId="6A356B0C" w:rsidR="6238DB37" w:rsidRDefault="6238DB37" w:rsidP="003B55EE">
            <w:pPr>
              <w:spacing w:line="240" w:lineRule="auto"/>
              <w:jc w:val="center"/>
              <w:rPr>
                <w:rFonts w:eastAsia="Arial" w:cs="Arial"/>
                <w:szCs w:val="24"/>
              </w:rPr>
            </w:pPr>
            <w:r w:rsidRPr="6238DB37">
              <w:rPr>
                <w:rFonts w:eastAsia="Arial" w:cs="Arial"/>
                <w:szCs w:val="24"/>
              </w:rPr>
              <w:t>1,522</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C81F2" w14:textId="17C36065" w:rsidR="6238DB37" w:rsidRDefault="6238DB37" w:rsidP="003B55EE">
            <w:pPr>
              <w:spacing w:line="240" w:lineRule="auto"/>
              <w:jc w:val="center"/>
              <w:rPr>
                <w:rFonts w:eastAsia="Arial" w:cs="Arial"/>
                <w:szCs w:val="24"/>
              </w:rPr>
            </w:pPr>
            <w:r w:rsidRPr="6238DB37">
              <w:rPr>
                <w:rFonts w:eastAsia="Arial" w:cs="Arial"/>
                <w:szCs w:val="24"/>
              </w:rPr>
              <w:t>1,213</w:t>
            </w:r>
          </w:p>
        </w:tc>
        <w:tc>
          <w:tcPr>
            <w:tcW w:w="14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84F08F7" w14:textId="181A4D84" w:rsidR="6238DB37" w:rsidRDefault="00146066" w:rsidP="003B55EE">
            <w:pPr>
              <w:spacing w:line="240" w:lineRule="auto"/>
              <w:jc w:val="center"/>
              <w:rPr>
                <w:rFonts w:eastAsia="Arial" w:cs="Arial"/>
                <w:color w:val="000000" w:themeColor="text1"/>
                <w:szCs w:val="24"/>
              </w:rPr>
            </w:pPr>
            <w:r>
              <w:rPr>
                <w:rFonts w:eastAsia="Arial" w:cs="Arial"/>
                <w:color w:val="000000" w:themeColor="text1"/>
                <w:szCs w:val="24"/>
              </w:rPr>
              <w:t>1</w:t>
            </w:r>
            <w:r w:rsidR="003A1071">
              <w:rPr>
                <w:rFonts w:eastAsia="Arial" w:cs="Arial"/>
                <w:color w:val="000000" w:themeColor="text1"/>
                <w:szCs w:val="24"/>
              </w:rPr>
              <w:t>577</w:t>
            </w:r>
          </w:p>
        </w:tc>
        <w:tc>
          <w:tcPr>
            <w:tcW w:w="151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49C1C87" w14:textId="63604FB8" w:rsidR="6238DB37" w:rsidRPr="00BD527E" w:rsidRDefault="003A1071" w:rsidP="003B55EE">
            <w:pPr>
              <w:spacing w:line="240" w:lineRule="auto"/>
              <w:jc w:val="center"/>
              <w:rPr>
                <w:rFonts w:eastAsia="Arial" w:cs="Arial"/>
                <w:color w:val="FF0000"/>
                <w:szCs w:val="24"/>
              </w:rPr>
            </w:pPr>
            <w:r w:rsidRPr="003A1071">
              <w:rPr>
                <w:rFonts w:eastAsia="Arial" w:cs="Arial"/>
                <w:color w:val="auto"/>
                <w:szCs w:val="24"/>
              </w:rPr>
              <w:t>863</w:t>
            </w:r>
          </w:p>
        </w:tc>
      </w:tr>
      <w:tr w:rsidR="6238DB37" w14:paraId="30E83D74"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5A5BBC" w14:textId="18A8F400" w:rsidR="6238DB37" w:rsidRDefault="6238DB37" w:rsidP="00641AB7">
            <w:pPr>
              <w:spacing w:line="240" w:lineRule="auto"/>
              <w:rPr>
                <w:rFonts w:eastAsia="Arial" w:cs="Arial"/>
                <w:szCs w:val="24"/>
              </w:rPr>
            </w:pPr>
            <w:r w:rsidRPr="6238DB37">
              <w:rPr>
                <w:rFonts w:eastAsia="Arial" w:cs="Arial"/>
                <w:szCs w:val="24"/>
              </w:rPr>
              <w:t>Fire Safety Checks</w:t>
            </w:r>
            <w:r w:rsidR="00FB73D9">
              <w:rPr>
                <w:rFonts w:eastAsia="Arial" w:cs="Arial"/>
                <w:szCs w:val="24"/>
              </w:rPr>
              <w:t>**</w:t>
            </w:r>
          </w:p>
        </w:tc>
        <w:tc>
          <w:tcPr>
            <w:tcW w:w="1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1BEB41" w14:textId="59CFDB84" w:rsidR="6238DB37" w:rsidRDefault="6238DB37" w:rsidP="003B55EE">
            <w:pPr>
              <w:spacing w:line="240" w:lineRule="auto"/>
              <w:jc w:val="center"/>
              <w:rPr>
                <w:rFonts w:eastAsia="Arial" w:cs="Arial"/>
                <w:szCs w:val="24"/>
              </w:rPr>
            </w:pPr>
            <w:r w:rsidRPr="6238DB37">
              <w:rPr>
                <w:rFonts w:eastAsia="Arial" w:cs="Arial"/>
                <w:szCs w:val="24"/>
              </w:rPr>
              <w:t>NA</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37D1E7" w14:textId="4F1139FA" w:rsidR="6238DB37" w:rsidRDefault="6238DB37" w:rsidP="003B55EE">
            <w:pPr>
              <w:spacing w:line="240" w:lineRule="auto"/>
              <w:jc w:val="center"/>
              <w:rPr>
                <w:rFonts w:eastAsia="Arial" w:cs="Arial"/>
                <w:szCs w:val="24"/>
              </w:rPr>
            </w:pPr>
            <w:r w:rsidRPr="6238DB37">
              <w:rPr>
                <w:rFonts w:eastAsia="Arial" w:cs="Arial"/>
                <w:szCs w:val="24"/>
              </w:rPr>
              <w:t>NA</w:t>
            </w:r>
          </w:p>
        </w:tc>
        <w:tc>
          <w:tcPr>
            <w:tcW w:w="14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9CFAFE" w14:textId="1746EF1E" w:rsidR="6238DB37" w:rsidRDefault="0014065F" w:rsidP="003B55EE">
            <w:pPr>
              <w:spacing w:line="240" w:lineRule="auto"/>
              <w:jc w:val="center"/>
              <w:rPr>
                <w:rFonts w:eastAsia="Arial" w:cs="Arial"/>
                <w:color w:val="000000" w:themeColor="text1"/>
                <w:szCs w:val="24"/>
              </w:rPr>
            </w:pPr>
            <w:r>
              <w:rPr>
                <w:rFonts w:eastAsia="Arial" w:cs="Arial"/>
                <w:color w:val="000000" w:themeColor="text1"/>
                <w:szCs w:val="24"/>
              </w:rPr>
              <w:t>NA</w:t>
            </w:r>
          </w:p>
        </w:tc>
        <w:tc>
          <w:tcPr>
            <w:tcW w:w="151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59316E7" w14:textId="6DBB309C" w:rsidR="6238DB37" w:rsidRPr="00BD527E" w:rsidRDefault="0014065F" w:rsidP="003B55EE">
            <w:pPr>
              <w:spacing w:line="240" w:lineRule="auto"/>
              <w:jc w:val="center"/>
              <w:rPr>
                <w:rFonts w:eastAsia="Arial" w:cs="Arial"/>
                <w:color w:val="FF0000"/>
                <w:szCs w:val="24"/>
              </w:rPr>
            </w:pPr>
            <w:r w:rsidRPr="0014065F">
              <w:rPr>
                <w:rFonts w:eastAsia="Arial" w:cs="Arial"/>
                <w:color w:val="auto"/>
                <w:szCs w:val="24"/>
              </w:rPr>
              <w:t>1</w:t>
            </w:r>
            <w:r w:rsidR="00D23899">
              <w:rPr>
                <w:rFonts w:eastAsia="Arial" w:cs="Arial"/>
                <w:color w:val="auto"/>
                <w:szCs w:val="24"/>
              </w:rPr>
              <w:t>0</w:t>
            </w:r>
            <w:r w:rsidRPr="0014065F">
              <w:rPr>
                <w:rFonts w:eastAsia="Arial" w:cs="Arial"/>
                <w:color w:val="auto"/>
                <w:szCs w:val="24"/>
              </w:rPr>
              <w:t>00</w:t>
            </w:r>
          </w:p>
        </w:tc>
      </w:tr>
      <w:tr w:rsidR="6238DB37" w14:paraId="1FF768B6" w14:textId="77777777" w:rsidTr="00641AB7">
        <w:trPr>
          <w:trHeight w:val="397"/>
        </w:trPr>
        <w:tc>
          <w:tcPr>
            <w:tcW w:w="310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9BFDDD" w14:textId="1CB2CC17" w:rsidR="6238DB37" w:rsidRDefault="6238DB37" w:rsidP="00641AB7">
            <w:pPr>
              <w:spacing w:line="240" w:lineRule="auto"/>
              <w:rPr>
                <w:rFonts w:eastAsia="Arial" w:cs="Arial"/>
                <w:szCs w:val="24"/>
              </w:rPr>
            </w:pPr>
            <w:r w:rsidRPr="6238DB37">
              <w:rPr>
                <w:rFonts w:eastAsia="Arial" w:cs="Arial"/>
                <w:szCs w:val="24"/>
              </w:rPr>
              <w:t>Firework Licensing Visits</w:t>
            </w:r>
            <w:r w:rsidR="00FB73D9">
              <w:rPr>
                <w:rFonts w:eastAsia="Arial" w:cs="Arial"/>
                <w:szCs w:val="24"/>
              </w:rPr>
              <w:t>**</w:t>
            </w:r>
          </w:p>
        </w:tc>
        <w:tc>
          <w:tcPr>
            <w:tcW w:w="1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FD433B" w14:textId="40F6D391" w:rsidR="6238DB37" w:rsidRDefault="007144C8" w:rsidP="003B55EE">
            <w:pPr>
              <w:spacing w:line="240" w:lineRule="auto"/>
              <w:jc w:val="center"/>
              <w:rPr>
                <w:rFonts w:eastAsia="Arial" w:cs="Arial"/>
                <w:szCs w:val="24"/>
              </w:rPr>
            </w:pPr>
            <w:r>
              <w:rPr>
                <w:rFonts w:eastAsia="Arial" w:cs="Arial"/>
                <w:szCs w:val="24"/>
              </w:rPr>
              <w:t>304</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D79CA9" w14:textId="7F1D3C20" w:rsidR="6238DB37" w:rsidRDefault="6238DB37" w:rsidP="003B55EE">
            <w:pPr>
              <w:spacing w:line="240" w:lineRule="auto"/>
              <w:jc w:val="center"/>
              <w:rPr>
                <w:rFonts w:eastAsia="Arial" w:cs="Arial"/>
                <w:szCs w:val="24"/>
              </w:rPr>
            </w:pPr>
            <w:r w:rsidRPr="6238DB37">
              <w:rPr>
                <w:rFonts w:eastAsia="Arial" w:cs="Arial"/>
                <w:szCs w:val="24"/>
              </w:rPr>
              <w:t>282</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15A99" w14:textId="0323B8FC" w:rsidR="6238DB37" w:rsidRDefault="00114771" w:rsidP="003B55EE">
            <w:pPr>
              <w:spacing w:line="240" w:lineRule="auto"/>
              <w:jc w:val="center"/>
              <w:rPr>
                <w:rFonts w:eastAsia="Arial" w:cs="Arial"/>
                <w:szCs w:val="24"/>
              </w:rPr>
            </w:pPr>
            <w:r>
              <w:rPr>
                <w:rFonts w:eastAsia="Arial" w:cs="Arial"/>
                <w:szCs w:val="24"/>
              </w:rPr>
              <w:t>250 to 330</w:t>
            </w:r>
          </w:p>
        </w:tc>
        <w:tc>
          <w:tcPr>
            <w:tcW w:w="151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FA6E9B" w14:textId="14DBDCC5" w:rsidR="6238DB37" w:rsidRPr="00BD527E" w:rsidRDefault="00114771" w:rsidP="003B55EE">
            <w:pPr>
              <w:spacing w:line="240" w:lineRule="auto"/>
              <w:jc w:val="center"/>
              <w:rPr>
                <w:rFonts w:eastAsia="Arial" w:cs="Arial"/>
                <w:color w:val="FF0000"/>
                <w:szCs w:val="24"/>
              </w:rPr>
            </w:pPr>
            <w:r>
              <w:rPr>
                <w:rFonts w:eastAsia="Arial" w:cs="Arial"/>
                <w:color w:val="auto"/>
                <w:szCs w:val="24"/>
              </w:rPr>
              <w:t xml:space="preserve">250 to </w:t>
            </w:r>
            <w:r w:rsidR="0014065F" w:rsidRPr="0014065F">
              <w:rPr>
                <w:rFonts w:eastAsia="Arial" w:cs="Arial"/>
                <w:color w:val="auto"/>
                <w:szCs w:val="24"/>
              </w:rPr>
              <w:t>330</w:t>
            </w:r>
          </w:p>
        </w:tc>
      </w:tr>
    </w:tbl>
    <w:p w14:paraId="178CE4BF" w14:textId="6C5FD501" w:rsidR="00317891" w:rsidRDefault="59C203A3" w:rsidP="00317891">
      <w:pPr>
        <w:spacing w:after="40"/>
        <w:rPr>
          <w:rFonts w:eastAsia="Arial" w:cs="Arial"/>
          <w:i/>
          <w:iCs/>
          <w:sz w:val="16"/>
          <w:szCs w:val="16"/>
        </w:rPr>
      </w:pPr>
      <w:r w:rsidRPr="6238DB37">
        <w:rPr>
          <w:rFonts w:eastAsia="Arial" w:cs="Arial"/>
          <w:i/>
          <w:iCs/>
          <w:sz w:val="16"/>
          <w:szCs w:val="16"/>
        </w:rPr>
        <w:t>Table 1</w:t>
      </w:r>
    </w:p>
    <w:p w14:paraId="7E3F1F22" w14:textId="1E020A65" w:rsidR="00317891" w:rsidRDefault="00317891" w:rsidP="00251117">
      <w:pPr>
        <w:spacing w:after="40"/>
        <w:rPr>
          <w:rFonts w:eastAsia="Arial" w:cs="Arial"/>
          <w:i/>
          <w:iCs/>
          <w:sz w:val="16"/>
          <w:szCs w:val="16"/>
        </w:rPr>
      </w:pPr>
      <w:r>
        <w:rPr>
          <w:rFonts w:eastAsia="Arial" w:cs="Arial"/>
          <w:i/>
          <w:iCs/>
          <w:sz w:val="16"/>
          <w:szCs w:val="16"/>
        </w:rPr>
        <w:t xml:space="preserve">* Figures for 21/22 were impacted by COVID </w:t>
      </w:r>
      <w:r w:rsidR="00251117">
        <w:rPr>
          <w:rFonts w:eastAsia="Arial" w:cs="Arial"/>
          <w:i/>
          <w:iCs/>
          <w:sz w:val="16"/>
          <w:szCs w:val="16"/>
        </w:rPr>
        <w:t>restrictions</w:t>
      </w:r>
    </w:p>
    <w:p w14:paraId="2FD0E427" w14:textId="5454A240" w:rsidR="00E56475" w:rsidRDefault="00FB73D9" w:rsidP="00F27A2B">
      <w:pPr>
        <w:spacing w:line="240" w:lineRule="auto"/>
        <w:rPr>
          <w:rFonts w:eastAsia="Arial" w:cs="Arial"/>
          <w:i/>
          <w:iCs/>
          <w:sz w:val="16"/>
          <w:szCs w:val="16"/>
        </w:rPr>
      </w:pPr>
      <w:r>
        <w:rPr>
          <w:rFonts w:eastAsia="Arial" w:cs="Arial"/>
          <w:i/>
          <w:iCs/>
          <w:sz w:val="16"/>
          <w:szCs w:val="16"/>
        </w:rPr>
        <w:t xml:space="preserve">** </w:t>
      </w:r>
      <w:r w:rsidR="00E95DF0">
        <w:rPr>
          <w:rFonts w:eastAsia="Arial" w:cs="Arial"/>
          <w:i/>
          <w:iCs/>
          <w:sz w:val="16"/>
          <w:szCs w:val="16"/>
        </w:rPr>
        <w:t xml:space="preserve">Protection activity figures are estimated and may </w:t>
      </w:r>
      <w:r w:rsidR="004D2C3D">
        <w:rPr>
          <w:rFonts w:eastAsia="Arial" w:cs="Arial"/>
          <w:i/>
          <w:iCs/>
          <w:sz w:val="16"/>
          <w:szCs w:val="16"/>
        </w:rPr>
        <w:t xml:space="preserve">be subject to </w:t>
      </w:r>
      <w:r w:rsidR="00E95DF0">
        <w:rPr>
          <w:rFonts w:eastAsia="Arial" w:cs="Arial"/>
          <w:i/>
          <w:iCs/>
          <w:sz w:val="16"/>
          <w:szCs w:val="16"/>
        </w:rPr>
        <w:t xml:space="preserve">change as a result of the introduction of new legislative / regulatory </w:t>
      </w:r>
      <w:r w:rsidR="000B74C5">
        <w:rPr>
          <w:rFonts w:eastAsia="Arial" w:cs="Arial"/>
          <w:i/>
          <w:iCs/>
          <w:sz w:val="16"/>
          <w:szCs w:val="16"/>
        </w:rPr>
        <w:t>requirements</w:t>
      </w:r>
    </w:p>
    <w:p w14:paraId="043C441D" w14:textId="77777777" w:rsidR="00A56DA4" w:rsidRPr="00A56DA4" w:rsidRDefault="00A56DA4">
      <w:pPr>
        <w:rPr>
          <w:rFonts w:eastAsia="Arial" w:cs="Arial"/>
          <w:b/>
          <w:bCs/>
          <w:sz w:val="4"/>
          <w:szCs w:val="4"/>
        </w:rPr>
      </w:pPr>
    </w:p>
    <w:p w14:paraId="38CD47BC" w14:textId="52F39907" w:rsidR="00E56475" w:rsidRDefault="59C203A3" w:rsidP="007F79F9">
      <w:pPr>
        <w:pStyle w:val="Heading3"/>
      </w:pPr>
      <w:r w:rsidRPr="6238DB37">
        <w:t>H</w:t>
      </w:r>
      <w:r w:rsidR="00AA2F04">
        <w:t xml:space="preserve">ome </w:t>
      </w:r>
      <w:r w:rsidRPr="6238DB37">
        <w:t>F</w:t>
      </w:r>
      <w:r w:rsidR="00AA2F04">
        <w:t xml:space="preserve">ire </w:t>
      </w:r>
      <w:r w:rsidRPr="6238DB37">
        <w:t>S</w:t>
      </w:r>
      <w:r w:rsidR="00AA2F04">
        <w:t xml:space="preserve">afety </w:t>
      </w:r>
      <w:r w:rsidRPr="6238DB37">
        <w:t>A</w:t>
      </w:r>
      <w:r w:rsidR="00AA2F04">
        <w:t>ssessment</w:t>
      </w:r>
      <w:r w:rsidRPr="6238DB37">
        <w:t>s</w:t>
      </w:r>
      <w:r w:rsidR="00F05889">
        <w:t xml:space="preserve"> (HFSAs)</w:t>
      </w:r>
    </w:p>
    <w:p w14:paraId="76836A14" w14:textId="69FCDFEA" w:rsidR="00E56475" w:rsidRDefault="59C203A3">
      <w:pPr>
        <w:rPr>
          <w:rFonts w:eastAsia="Arial" w:cs="Arial"/>
          <w:szCs w:val="24"/>
        </w:rPr>
      </w:pPr>
      <w:r w:rsidRPr="6238DB37">
        <w:rPr>
          <w:rFonts w:eastAsia="Arial" w:cs="Arial"/>
          <w:szCs w:val="24"/>
        </w:rPr>
        <w:t xml:space="preserve">Operational crews will continue the trajectory of </w:t>
      </w:r>
      <w:r w:rsidR="04F56CA9" w:rsidRPr="6238DB37">
        <w:rPr>
          <w:rFonts w:eastAsia="Arial" w:cs="Arial"/>
          <w:szCs w:val="24"/>
        </w:rPr>
        <w:t>increasing the number of HFSAs</w:t>
      </w:r>
      <w:r w:rsidRPr="6238DB37">
        <w:rPr>
          <w:rFonts w:eastAsia="Arial" w:cs="Arial"/>
          <w:szCs w:val="24"/>
        </w:rPr>
        <w:t xml:space="preserve">, </w:t>
      </w:r>
      <w:proofErr w:type="gramStart"/>
      <w:r w:rsidRPr="6238DB37">
        <w:rPr>
          <w:rFonts w:eastAsia="Arial" w:cs="Arial"/>
          <w:szCs w:val="24"/>
        </w:rPr>
        <w:t xml:space="preserve">in particular </w:t>
      </w:r>
      <w:r w:rsidR="00E815D4">
        <w:rPr>
          <w:rFonts w:eastAsia="Arial" w:cs="Arial"/>
          <w:szCs w:val="24"/>
        </w:rPr>
        <w:t>in</w:t>
      </w:r>
      <w:proofErr w:type="gramEnd"/>
      <w:r w:rsidR="00E815D4">
        <w:rPr>
          <w:rFonts w:eastAsia="Arial" w:cs="Arial"/>
          <w:szCs w:val="24"/>
        </w:rPr>
        <w:t xml:space="preserve"> </w:t>
      </w:r>
      <w:r w:rsidRPr="6238DB37">
        <w:rPr>
          <w:rFonts w:eastAsia="Arial" w:cs="Arial"/>
          <w:szCs w:val="24"/>
        </w:rPr>
        <w:t>high-risk households</w:t>
      </w:r>
      <w:r w:rsidR="7CD9D48D" w:rsidRPr="6238DB37">
        <w:rPr>
          <w:rFonts w:eastAsia="Arial" w:cs="Arial"/>
          <w:szCs w:val="24"/>
        </w:rPr>
        <w:t>.</w:t>
      </w:r>
    </w:p>
    <w:p w14:paraId="1B34612D" w14:textId="0DDFF8C9" w:rsidR="00E56475" w:rsidRDefault="59C203A3">
      <w:pPr>
        <w:rPr>
          <w:rFonts w:eastAsia="Arial" w:cs="Arial"/>
          <w:szCs w:val="24"/>
        </w:rPr>
      </w:pPr>
      <w:r w:rsidRPr="6238DB37">
        <w:rPr>
          <w:rFonts w:eastAsia="Arial" w:cs="Arial"/>
          <w:szCs w:val="24"/>
        </w:rPr>
        <w:t>Productivity Measure: An increase in the 18,498 HFSAs completed in 22/23 to 27,800 in the years 23/24</w:t>
      </w:r>
      <w:r w:rsidR="0040067D">
        <w:rPr>
          <w:rFonts w:eastAsia="Arial" w:cs="Arial"/>
          <w:szCs w:val="24"/>
        </w:rPr>
        <w:t>. A</w:t>
      </w:r>
      <w:r w:rsidR="006F3DBD">
        <w:rPr>
          <w:rFonts w:eastAsia="Arial" w:cs="Arial"/>
          <w:szCs w:val="24"/>
        </w:rPr>
        <w:t xml:space="preserve"> </w:t>
      </w:r>
      <w:r w:rsidR="00881DEE">
        <w:rPr>
          <w:rFonts w:eastAsia="Arial" w:cs="Arial"/>
          <w:szCs w:val="24"/>
        </w:rPr>
        <w:t xml:space="preserve">further </w:t>
      </w:r>
      <w:r w:rsidR="0040067D">
        <w:rPr>
          <w:rFonts w:eastAsia="Arial" w:cs="Arial"/>
          <w:szCs w:val="24"/>
        </w:rPr>
        <w:t xml:space="preserve">increase </w:t>
      </w:r>
      <w:r w:rsidR="00881DEE">
        <w:rPr>
          <w:rFonts w:eastAsia="Arial" w:cs="Arial"/>
          <w:szCs w:val="24"/>
        </w:rPr>
        <w:t>t</w:t>
      </w:r>
      <w:r w:rsidR="006F3DBD">
        <w:rPr>
          <w:rFonts w:eastAsia="Arial" w:cs="Arial"/>
          <w:szCs w:val="24"/>
        </w:rPr>
        <w:t>o</w:t>
      </w:r>
      <w:r w:rsidR="00881DEE">
        <w:rPr>
          <w:rFonts w:eastAsia="Arial" w:cs="Arial"/>
          <w:szCs w:val="24"/>
        </w:rPr>
        <w:t xml:space="preserve"> 29,000 in </w:t>
      </w:r>
      <w:r w:rsidRPr="6238DB37">
        <w:rPr>
          <w:rFonts w:eastAsia="Arial" w:cs="Arial"/>
          <w:szCs w:val="24"/>
        </w:rPr>
        <w:t>24/25</w:t>
      </w:r>
      <w:r w:rsidR="00C631FF">
        <w:rPr>
          <w:rFonts w:eastAsia="Arial" w:cs="Arial"/>
          <w:szCs w:val="24"/>
        </w:rPr>
        <w:t xml:space="preserve"> is anticipated</w:t>
      </w:r>
      <w:r w:rsidR="0040067D">
        <w:rPr>
          <w:rFonts w:eastAsia="Arial" w:cs="Arial"/>
          <w:szCs w:val="24"/>
        </w:rPr>
        <w:t xml:space="preserve"> </w:t>
      </w:r>
      <w:r w:rsidR="00814EBA">
        <w:rPr>
          <w:rFonts w:eastAsia="Arial" w:cs="Arial"/>
          <w:szCs w:val="24"/>
        </w:rPr>
        <w:t xml:space="preserve">as a result of regarding </w:t>
      </w:r>
      <w:r w:rsidR="00881DEE">
        <w:rPr>
          <w:rFonts w:eastAsia="Arial" w:cs="Arial"/>
          <w:szCs w:val="24"/>
        </w:rPr>
        <w:t>increas</w:t>
      </w:r>
      <w:r w:rsidR="00814EBA">
        <w:rPr>
          <w:rFonts w:eastAsia="Arial" w:cs="Arial"/>
          <w:szCs w:val="24"/>
        </w:rPr>
        <w:t>ing</w:t>
      </w:r>
      <w:r w:rsidR="00881DEE">
        <w:rPr>
          <w:rFonts w:eastAsia="Arial" w:cs="Arial"/>
          <w:szCs w:val="24"/>
        </w:rPr>
        <w:t xml:space="preserve"> </w:t>
      </w:r>
      <w:r w:rsidR="006D0244">
        <w:rPr>
          <w:rFonts w:eastAsia="Arial" w:cs="Arial"/>
          <w:szCs w:val="24"/>
        </w:rPr>
        <w:t>operational frontline</w:t>
      </w:r>
      <w:r w:rsidR="00814EBA">
        <w:rPr>
          <w:rFonts w:eastAsia="Arial" w:cs="Arial"/>
          <w:szCs w:val="24"/>
        </w:rPr>
        <w:t xml:space="preserve"> </w:t>
      </w:r>
      <w:r w:rsidR="00123F16">
        <w:rPr>
          <w:rFonts w:eastAsia="Arial" w:cs="Arial"/>
          <w:szCs w:val="24"/>
        </w:rPr>
        <w:t>resources</w:t>
      </w:r>
      <w:r w:rsidR="00C631FF">
        <w:rPr>
          <w:rFonts w:eastAsia="Arial" w:cs="Arial"/>
          <w:szCs w:val="24"/>
        </w:rPr>
        <w:t xml:space="preserve"> that will be part of t</w:t>
      </w:r>
      <w:r w:rsidR="00632C05">
        <w:rPr>
          <w:rFonts w:eastAsia="Arial" w:cs="Arial"/>
          <w:szCs w:val="24"/>
        </w:rPr>
        <w:t xml:space="preserve">he Fire Cover </w:t>
      </w:r>
      <w:r w:rsidR="00C631FF">
        <w:rPr>
          <w:rFonts w:eastAsia="Arial" w:cs="Arial"/>
          <w:szCs w:val="24"/>
        </w:rPr>
        <w:t>R</w:t>
      </w:r>
      <w:r w:rsidR="00632C05">
        <w:rPr>
          <w:rFonts w:eastAsia="Arial" w:cs="Arial"/>
          <w:szCs w:val="24"/>
        </w:rPr>
        <w:t>eview 2023</w:t>
      </w:r>
      <w:r w:rsidR="00C631FF">
        <w:rPr>
          <w:rFonts w:eastAsia="Arial" w:cs="Arial"/>
          <w:szCs w:val="24"/>
        </w:rPr>
        <w:t>, due to be consulted upon in May 2023</w:t>
      </w:r>
      <w:r w:rsidRPr="6238DB37">
        <w:rPr>
          <w:rFonts w:eastAsia="Arial" w:cs="Arial"/>
          <w:szCs w:val="24"/>
        </w:rPr>
        <w:t xml:space="preserve">.  Data entered onto the “HFSA Intervention Tool” on completion of site visit by Watch Officer will be used to verify increase in productivity. </w:t>
      </w:r>
    </w:p>
    <w:p w14:paraId="24042E53" w14:textId="4EA9866D" w:rsidR="00E56475" w:rsidRDefault="59C203A3" w:rsidP="007F79F9">
      <w:pPr>
        <w:pStyle w:val="Heading3"/>
      </w:pPr>
      <w:r w:rsidRPr="6238DB37">
        <w:lastRenderedPageBreak/>
        <w:t>School Visits</w:t>
      </w:r>
    </w:p>
    <w:p w14:paraId="01B30917" w14:textId="17A0ED30" w:rsidR="00E56475" w:rsidRDefault="59C203A3">
      <w:pPr>
        <w:rPr>
          <w:rFonts w:eastAsia="Arial" w:cs="Arial"/>
          <w:szCs w:val="24"/>
        </w:rPr>
      </w:pPr>
      <w:r w:rsidRPr="6238DB37">
        <w:rPr>
          <w:rFonts w:eastAsia="Arial" w:cs="Arial"/>
          <w:szCs w:val="24"/>
        </w:rPr>
        <w:t>The move from the universal Year 6 school visit to a targeted approach focusing on Years 2,4 and 8 will be adopted from 23/24.</w:t>
      </w:r>
    </w:p>
    <w:p w14:paraId="55AEC7A2" w14:textId="19D43F03" w:rsidR="00E56475" w:rsidRDefault="59C203A3" w:rsidP="2CEAE50F">
      <w:pPr>
        <w:rPr>
          <w:rFonts w:eastAsia="Arial" w:cs="Arial"/>
        </w:rPr>
      </w:pPr>
      <w:r w:rsidRPr="2CEAE50F">
        <w:rPr>
          <w:rFonts w:eastAsia="Arial" w:cs="Arial"/>
        </w:rPr>
        <w:t xml:space="preserve">Productivity Measure: An increase in school visits from 466 in year 22/23 to 1314 for year 23/24 and </w:t>
      </w:r>
      <w:r w:rsidR="00617400" w:rsidRPr="2CEAE50F">
        <w:rPr>
          <w:rFonts w:eastAsia="Arial" w:cs="Arial"/>
        </w:rPr>
        <w:t>1</w:t>
      </w:r>
      <w:r w:rsidR="002E5C41" w:rsidRPr="2CEAE50F">
        <w:rPr>
          <w:rFonts w:eastAsia="Arial" w:cs="Arial"/>
        </w:rPr>
        <w:t>50</w:t>
      </w:r>
      <w:r w:rsidR="00617400" w:rsidRPr="2CEAE50F">
        <w:rPr>
          <w:rFonts w:eastAsia="Arial" w:cs="Arial"/>
        </w:rPr>
        <w:t xml:space="preserve">0 </w:t>
      </w:r>
      <w:r w:rsidR="00CC278D" w:rsidRPr="2CEAE50F">
        <w:rPr>
          <w:rFonts w:eastAsia="Arial" w:cs="Arial"/>
        </w:rPr>
        <w:t xml:space="preserve">for </w:t>
      </w:r>
      <w:r w:rsidRPr="2CEAE50F">
        <w:rPr>
          <w:rFonts w:eastAsia="Arial" w:cs="Arial"/>
        </w:rPr>
        <w:t>24/25</w:t>
      </w:r>
      <w:r w:rsidR="00F05889">
        <w:rPr>
          <w:rFonts w:eastAsia="Arial" w:cs="Arial"/>
        </w:rPr>
        <w:t>.  This</w:t>
      </w:r>
      <w:r w:rsidRPr="2CEAE50F">
        <w:rPr>
          <w:rFonts w:eastAsia="Arial" w:cs="Arial"/>
        </w:rPr>
        <w:t xml:space="preserve"> </w:t>
      </w:r>
      <w:r w:rsidR="009F5835" w:rsidRPr="2CEAE50F">
        <w:rPr>
          <w:rFonts w:eastAsia="Arial" w:cs="Arial"/>
        </w:rPr>
        <w:t>includes a further</w:t>
      </w:r>
      <w:r w:rsidR="002E5C41" w:rsidRPr="2CEAE50F">
        <w:rPr>
          <w:rFonts w:eastAsia="Arial" w:cs="Arial"/>
        </w:rPr>
        <w:t xml:space="preserve"> growth </w:t>
      </w:r>
      <w:r w:rsidR="00CC278D" w:rsidRPr="2CEAE50F">
        <w:rPr>
          <w:rFonts w:eastAsia="Arial" w:cs="Arial"/>
        </w:rPr>
        <w:t xml:space="preserve">in </w:t>
      </w:r>
      <w:r w:rsidRPr="2CEAE50F">
        <w:rPr>
          <w:rFonts w:eastAsia="Arial" w:cs="Arial"/>
        </w:rPr>
        <w:t xml:space="preserve">school visits </w:t>
      </w:r>
      <w:r w:rsidR="002E5C41" w:rsidRPr="2CEAE50F">
        <w:rPr>
          <w:rFonts w:eastAsia="Arial" w:cs="Arial"/>
        </w:rPr>
        <w:t>a</w:t>
      </w:r>
      <w:r w:rsidR="001C4621" w:rsidRPr="2CEAE50F">
        <w:rPr>
          <w:rFonts w:eastAsia="Arial" w:cs="Arial"/>
        </w:rPr>
        <w:t>longside</w:t>
      </w:r>
      <w:r w:rsidR="002E5C41" w:rsidRPr="2CEAE50F">
        <w:rPr>
          <w:rFonts w:eastAsia="Arial" w:cs="Arial"/>
        </w:rPr>
        <w:t xml:space="preserve"> a</w:t>
      </w:r>
      <w:r w:rsidR="669FBB61" w:rsidRPr="2CEAE50F">
        <w:rPr>
          <w:rFonts w:eastAsia="Arial" w:cs="Arial"/>
        </w:rPr>
        <w:t>n anticipated</w:t>
      </w:r>
      <w:r w:rsidR="002E5C41" w:rsidRPr="2CEAE50F">
        <w:rPr>
          <w:rFonts w:eastAsia="Arial" w:cs="Arial"/>
        </w:rPr>
        <w:t xml:space="preserve"> reduction in the number of watches </w:t>
      </w:r>
      <w:r w:rsidR="00BD5BEB" w:rsidRPr="2CEAE50F">
        <w:rPr>
          <w:rFonts w:eastAsia="Arial" w:cs="Arial"/>
        </w:rPr>
        <w:t>due to the fire cover review</w:t>
      </w:r>
      <w:r w:rsidR="00AB6955" w:rsidRPr="2CEAE50F">
        <w:rPr>
          <w:rFonts w:eastAsia="Arial" w:cs="Arial"/>
        </w:rPr>
        <w:t>.</w:t>
      </w:r>
      <w:r w:rsidRPr="2CEAE50F">
        <w:rPr>
          <w:rFonts w:eastAsia="Arial" w:cs="Arial"/>
        </w:rPr>
        <w:t xml:space="preserve"> Data entered onto the “Community Safety App” on completion of school visit by Watch Officer will be used to verify increase in productivity. </w:t>
      </w:r>
    </w:p>
    <w:p w14:paraId="32524BA0" w14:textId="5647E07A" w:rsidR="00E56475" w:rsidRDefault="59C203A3" w:rsidP="007F79F9">
      <w:pPr>
        <w:pStyle w:val="Heading3"/>
      </w:pPr>
      <w:r w:rsidRPr="6238DB37">
        <w:t>Hydrant Inspections</w:t>
      </w:r>
    </w:p>
    <w:p w14:paraId="62DD8340" w14:textId="5F381701" w:rsidR="00E56475" w:rsidRDefault="59C203A3">
      <w:pPr>
        <w:rPr>
          <w:rFonts w:eastAsia="Arial" w:cs="Arial"/>
          <w:szCs w:val="24"/>
        </w:rPr>
      </w:pPr>
      <w:r w:rsidRPr="6238DB37">
        <w:rPr>
          <w:rFonts w:eastAsia="Arial" w:cs="Arial"/>
          <w:szCs w:val="24"/>
        </w:rPr>
        <w:t xml:space="preserve">An increased level of simultaneous activity by operational crews will increase capacity to complete hydrant inspections. </w:t>
      </w:r>
    </w:p>
    <w:p w14:paraId="1EB221B5" w14:textId="226FDEA6" w:rsidR="00E56475" w:rsidRDefault="59C203A3">
      <w:pPr>
        <w:rPr>
          <w:rFonts w:eastAsia="Arial" w:cs="Arial"/>
          <w:szCs w:val="24"/>
        </w:rPr>
      </w:pPr>
      <w:r w:rsidRPr="6238DB37">
        <w:rPr>
          <w:rFonts w:eastAsia="Arial" w:cs="Arial"/>
          <w:szCs w:val="24"/>
        </w:rPr>
        <w:t xml:space="preserve">Productivity Measure: Continue to increase the upward trajectory of hydrant inspections to 2,500 in 23/24 and 3,000 during 24/25. Data entered onto the fire appliance mobile phone “Hydrant App” on completion of the hydrant inspection will be used to verify increase in productivity. </w:t>
      </w:r>
    </w:p>
    <w:p w14:paraId="774B98AD" w14:textId="2FF42429" w:rsidR="00E56475" w:rsidRDefault="00DF4F65" w:rsidP="007F79F9">
      <w:pPr>
        <w:pStyle w:val="Heading3"/>
      </w:pPr>
      <w:r w:rsidRPr="00DF4F65">
        <w:t>7(2)(d)</w:t>
      </w:r>
      <w:r w:rsidRPr="6238DB37">
        <w:t xml:space="preserve"> </w:t>
      </w:r>
      <w:r w:rsidR="59C203A3" w:rsidRPr="6238DB37">
        <w:t>Visits</w:t>
      </w:r>
    </w:p>
    <w:p w14:paraId="385DC059" w14:textId="5475BE4F" w:rsidR="00AC3D8F" w:rsidRDefault="00005202">
      <w:pPr>
        <w:rPr>
          <w:rFonts w:eastAsia="Arial" w:cs="Arial"/>
          <w:szCs w:val="24"/>
        </w:rPr>
      </w:pPr>
      <w:r>
        <w:rPr>
          <w:rFonts w:eastAsia="Arial" w:cs="Arial"/>
          <w:szCs w:val="24"/>
        </w:rPr>
        <w:t xml:space="preserve">The </w:t>
      </w:r>
      <w:r w:rsidR="59C203A3" w:rsidRPr="6238DB37">
        <w:rPr>
          <w:rFonts w:eastAsia="Arial" w:cs="Arial"/>
          <w:szCs w:val="24"/>
        </w:rPr>
        <w:t xml:space="preserve">Fire Services Act 2004 Section 7(2)(d) - </w:t>
      </w:r>
      <w:r w:rsidR="59C203A3" w:rsidRPr="6238DB37">
        <w:rPr>
          <w:rFonts w:eastAsia="Arial" w:cs="Arial"/>
          <w:i/>
          <w:iCs/>
          <w:szCs w:val="24"/>
        </w:rPr>
        <w:t>making provision for obtaining information needed to extinguish fires and protect life and property in the event of fire</w:t>
      </w:r>
      <w:r>
        <w:rPr>
          <w:rFonts w:eastAsia="Arial" w:cs="Arial"/>
          <w:i/>
          <w:iCs/>
          <w:szCs w:val="24"/>
        </w:rPr>
        <w:t xml:space="preserve"> -</w:t>
      </w:r>
      <w:r w:rsidR="0052308A" w:rsidRPr="00182804">
        <w:rPr>
          <w:rFonts w:eastAsia="Arial" w:cs="Arial"/>
          <w:szCs w:val="24"/>
        </w:rPr>
        <w:t xml:space="preserve"> requires </w:t>
      </w:r>
      <w:r w:rsidR="00F05889">
        <w:rPr>
          <w:rFonts w:eastAsia="Arial" w:cs="Arial"/>
          <w:szCs w:val="24"/>
        </w:rPr>
        <w:t>o</w:t>
      </w:r>
      <w:r w:rsidR="00952FC2" w:rsidRPr="00182804">
        <w:rPr>
          <w:rFonts w:eastAsia="Arial" w:cs="Arial"/>
          <w:szCs w:val="24"/>
        </w:rPr>
        <w:t xml:space="preserve">perational </w:t>
      </w:r>
      <w:r w:rsidR="00F05889">
        <w:rPr>
          <w:rFonts w:eastAsia="Arial" w:cs="Arial"/>
          <w:szCs w:val="24"/>
        </w:rPr>
        <w:t>c</w:t>
      </w:r>
      <w:r w:rsidR="00952FC2" w:rsidRPr="00182804">
        <w:rPr>
          <w:rFonts w:eastAsia="Arial" w:cs="Arial"/>
          <w:szCs w:val="24"/>
        </w:rPr>
        <w:t>rews to gather and record premises information</w:t>
      </w:r>
      <w:r w:rsidR="00415AEC" w:rsidRPr="00182804">
        <w:rPr>
          <w:rFonts w:eastAsia="Arial" w:cs="Arial"/>
          <w:szCs w:val="24"/>
        </w:rPr>
        <w:t xml:space="preserve"> </w:t>
      </w:r>
      <w:r w:rsidR="0020303B">
        <w:rPr>
          <w:rFonts w:eastAsia="Arial" w:cs="Arial"/>
          <w:szCs w:val="24"/>
        </w:rPr>
        <w:t xml:space="preserve">to be available </w:t>
      </w:r>
      <w:r w:rsidR="00EA7411" w:rsidRPr="00182804">
        <w:rPr>
          <w:rFonts w:eastAsia="Arial" w:cs="Arial"/>
          <w:szCs w:val="24"/>
        </w:rPr>
        <w:t>for use at</w:t>
      </w:r>
      <w:r w:rsidR="00EA7411">
        <w:rPr>
          <w:rFonts w:eastAsia="Arial" w:cs="Arial"/>
          <w:szCs w:val="24"/>
        </w:rPr>
        <w:t xml:space="preserve"> operational incidents</w:t>
      </w:r>
      <w:r w:rsidR="00F80F87">
        <w:rPr>
          <w:rFonts w:eastAsia="Arial" w:cs="Arial"/>
          <w:szCs w:val="24"/>
        </w:rPr>
        <w:t xml:space="preserve">. </w:t>
      </w:r>
    </w:p>
    <w:p w14:paraId="0FA53310" w14:textId="3CDE9599" w:rsidR="00AC3D8F" w:rsidRDefault="00F05889">
      <w:pPr>
        <w:rPr>
          <w:rFonts w:eastAsia="Arial" w:cs="Arial"/>
          <w:szCs w:val="24"/>
        </w:rPr>
      </w:pPr>
      <w:r>
        <w:rPr>
          <w:rFonts w:eastAsia="Arial" w:cs="Arial"/>
          <w:szCs w:val="24"/>
        </w:rPr>
        <w:t xml:space="preserve">To </w:t>
      </w:r>
      <w:r w:rsidR="00AC3D8F">
        <w:rPr>
          <w:rFonts w:eastAsia="Arial" w:cs="Arial"/>
          <w:szCs w:val="24"/>
        </w:rPr>
        <w:t>do this</w:t>
      </w:r>
      <w:r>
        <w:rPr>
          <w:rFonts w:eastAsia="Arial" w:cs="Arial"/>
          <w:szCs w:val="24"/>
        </w:rPr>
        <w:t>,</w:t>
      </w:r>
      <w:r w:rsidR="00AC3D8F">
        <w:rPr>
          <w:rFonts w:eastAsia="Arial" w:cs="Arial"/>
          <w:szCs w:val="24"/>
        </w:rPr>
        <w:t xml:space="preserve"> </w:t>
      </w:r>
      <w:r>
        <w:rPr>
          <w:rFonts w:eastAsia="Arial" w:cs="Arial"/>
          <w:szCs w:val="24"/>
        </w:rPr>
        <w:t>o</w:t>
      </w:r>
      <w:r w:rsidR="00AC3D8F">
        <w:rPr>
          <w:rFonts w:eastAsia="Arial" w:cs="Arial"/>
          <w:szCs w:val="24"/>
        </w:rPr>
        <w:t xml:space="preserve">perational </w:t>
      </w:r>
      <w:r>
        <w:rPr>
          <w:rFonts w:eastAsia="Arial" w:cs="Arial"/>
          <w:szCs w:val="24"/>
        </w:rPr>
        <w:t>c</w:t>
      </w:r>
      <w:r w:rsidR="00AC3D8F">
        <w:rPr>
          <w:rFonts w:eastAsia="Arial" w:cs="Arial"/>
          <w:szCs w:val="24"/>
        </w:rPr>
        <w:t xml:space="preserve">rews gather risk information about buildings and undertake visits to ensure that this information is up to date. The level of information gathered, and the frequency of inspections is determined by the level of risk in the building. There is significant planned development across the city region including commercial and residential growth and this will increase the workload in this area. </w:t>
      </w:r>
    </w:p>
    <w:p w14:paraId="64E45884" w14:textId="77777777" w:rsidR="00EB2934" w:rsidRDefault="00F80F87">
      <w:pPr>
        <w:rPr>
          <w:rFonts w:eastAsia="Arial" w:cs="Arial"/>
          <w:szCs w:val="24"/>
        </w:rPr>
      </w:pPr>
      <w:r w:rsidRPr="00924107">
        <w:rPr>
          <w:rFonts w:eastAsia="Arial" w:cs="Arial"/>
          <w:szCs w:val="24"/>
        </w:rPr>
        <w:t>In 2021/22</w:t>
      </w:r>
      <w:r w:rsidR="00ED1A6B" w:rsidRPr="00924107">
        <w:rPr>
          <w:rFonts w:eastAsia="Arial" w:cs="Arial"/>
          <w:szCs w:val="24"/>
        </w:rPr>
        <w:t>,</w:t>
      </w:r>
      <w:r w:rsidRPr="00924107">
        <w:rPr>
          <w:rFonts w:eastAsia="Arial" w:cs="Arial"/>
          <w:szCs w:val="24"/>
        </w:rPr>
        <w:t xml:space="preserve"> 1</w:t>
      </w:r>
      <w:r w:rsidR="00393324">
        <w:rPr>
          <w:rFonts w:eastAsia="Arial" w:cs="Arial"/>
          <w:szCs w:val="24"/>
        </w:rPr>
        <w:t>,</w:t>
      </w:r>
      <w:r w:rsidRPr="00924107">
        <w:rPr>
          <w:rFonts w:eastAsia="Arial" w:cs="Arial"/>
          <w:szCs w:val="24"/>
        </w:rPr>
        <w:t>522 premise</w:t>
      </w:r>
      <w:r w:rsidR="00C00BF3" w:rsidRPr="00924107">
        <w:rPr>
          <w:rFonts w:eastAsia="Arial" w:cs="Arial"/>
          <w:szCs w:val="24"/>
        </w:rPr>
        <w:t>s</w:t>
      </w:r>
      <w:r w:rsidR="00103882" w:rsidRPr="00924107">
        <w:rPr>
          <w:rFonts w:eastAsia="Arial" w:cs="Arial"/>
          <w:szCs w:val="24"/>
        </w:rPr>
        <w:t xml:space="preserve"> were</w:t>
      </w:r>
      <w:r w:rsidR="00C00BF3" w:rsidRPr="00924107">
        <w:rPr>
          <w:rFonts w:eastAsia="Arial" w:cs="Arial"/>
          <w:szCs w:val="24"/>
        </w:rPr>
        <w:t xml:space="preserve"> inspected</w:t>
      </w:r>
      <w:r w:rsidR="00393324">
        <w:rPr>
          <w:rFonts w:eastAsia="Arial" w:cs="Arial"/>
          <w:szCs w:val="24"/>
        </w:rPr>
        <w:t>.</w:t>
      </w:r>
      <w:r w:rsidR="000C540B" w:rsidRPr="00924107">
        <w:rPr>
          <w:rFonts w:eastAsia="Arial" w:cs="Arial"/>
          <w:szCs w:val="24"/>
        </w:rPr>
        <w:t xml:space="preserve"> In addition to</w:t>
      </w:r>
      <w:r w:rsidR="000C540B">
        <w:rPr>
          <w:rFonts w:eastAsia="Arial" w:cs="Arial"/>
          <w:szCs w:val="24"/>
        </w:rPr>
        <w:t xml:space="preserve"> routine inspections more frequent inspections are undertaken of high rise and other residential buildings which are operating a temporary simultaneous evacuation strategy.</w:t>
      </w:r>
      <w:r w:rsidR="00BD06A0">
        <w:rPr>
          <w:rFonts w:eastAsia="Arial" w:cs="Arial"/>
          <w:szCs w:val="24"/>
        </w:rPr>
        <w:t xml:space="preserve"> </w:t>
      </w:r>
      <w:r w:rsidR="00E37288">
        <w:rPr>
          <w:rFonts w:eastAsia="Arial" w:cs="Arial"/>
          <w:szCs w:val="24"/>
        </w:rPr>
        <w:t xml:space="preserve"> </w:t>
      </w:r>
      <w:r w:rsidR="002927E1">
        <w:rPr>
          <w:rFonts w:eastAsia="Arial" w:cs="Arial"/>
          <w:szCs w:val="24"/>
        </w:rPr>
        <w:t xml:space="preserve">Since </w:t>
      </w:r>
      <w:proofErr w:type="gramStart"/>
      <w:r w:rsidR="002927E1">
        <w:rPr>
          <w:rFonts w:eastAsia="Arial" w:cs="Arial"/>
          <w:szCs w:val="24"/>
        </w:rPr>
        <w:t>th</w:t>
      </w:r>
      <w:r w:rsidR="00141583">
        <w:rPr>
          <w:rFonts w:eastAsia="Arial" w:cs="Arial"/>
          <w:szCs w:val="24"/>
        </w:rPr>
        <w:t>en</w:t>
      </w:r>
      <w:proofErr w:type="gramEnd"/>
      <w:r w:rsidR="002927E1">
        <w:rPr>
          <w:rFonts w:eastAsia="Arial" w:cs="Arial"/>
          <w:szCs w:val="24"/>
        </w:rPr>
        <w:t xml:space="preserve"> there has been a revision of the Policy and </w:t>
      </w:r>
      <w:r w:rsidR="008E5596">
        <w:rPr>
          <w:rFonts w:eastAsia="Arial" w:cs="Arial"/>
          <w:szCs w:val="24"/>
        </w:rPr>
        <w:t>a revised inspection frequency developed.</w:t>
      </w:r>
      <w:r w:rsidR="00CC6712">
        <w:rPr>
          <w:rFonts w:eastAsia="Arial" w:cs="Arial"/>
          <w:szCs w:val="24"/>
        </w:rPr>
        <w:t xml:space="preserve"> </w:t>
      </w:r>
    </w:p>
    <w:p w14:paraId="42DD526E" w14:textId="77777777" w:rsidR="00A307C5" w:rsidRDefault="00F44A68" w:rsidP="00A307C5">
      <w:pPr>
        <w:rPr>
          <w:rFonts w:eastAsia="Arial" w:cs="Arial"/>
          <w:i/>
          <w:iCs/>
          <w:szCs w:val="24"/>
        </w:rPr>
      </w:pPr>
      <w:r>
        <w:rPr>
          <w:rFonts w:eastAsia="Arial" w:cs="Arial"/>
          <w:szCs w:val="24"/>
        </w:rPr>
        <w:lastRenderedPageBreak/>
        <w:t>D</w:t>
      </w:r>
      <w:r w:rsidR="008E5596">
        <w:rPr>
          <w:rFonts w:eastAsia="Arial" w:cs="Arial"/>
          <w:szCs w:val="24"/>
        </w:rPr>
        <w:t xml:space="preserve">uring 23/24, </w:t>
      </w:r>
      <w:r w:rsidR="0064307B">
        <w:rPr>
          <w:rFonts w:eastAsia="Arial" w:cs="Arial"/>
          <w:szCs w:val="24"/>
        </w:rPr>
        <w:t xml:space="preserve">we will increase the number of operational intelligence records as new premises are completed and continue to refine our assessment of risk. </w:t>
      </w:r>
      <w:r w:rsidR="00F62DA6">
        <w:rPr>
          <w:rFonts w:eastAsia="Arial" w:cs="Arial"/>
          <w:szCs w:val="24"/>
        </w:rPr>
        <w:t xml:space="preserve"> </w:t>
      </w:r>
      <w:r w:rsidR="00A307C5">
        <w:rPr>
          <w:rFonts w:eastAsia="Arial" w:cs="Arial"/>
          <w:szCs w:val="24"/>
        </w:rPr>
        <w:t>We are introducing the capability to accurately record the time spent on this activity and will use this to inform improvements in productivity.</w:t>
      </w:r>
    </w:p>
    <w:p w14:paraId="20228F61" w14:textId="3FB00B1F" w:rsidR="007723F2" w:rsidRDefault="00F62DA6">
      <w:pPr>
        <w:rPr>
          <w:rFonts w:eastAsia="Arial" w:cs="Arial"/>
          <w:szCs w:val="24"/>
        </w:rPr>
      </w:pPr>
      <w:r>
        <w:rPr>
          <w:rFonts w:eastAsia="Arial" w:cs="Arial"/>
          <w:szCs w:val="24"/>
        </w:rPr>
        <w:t>W</w:t>
      </w:r>
      <w:r w:rsidR="002C4671">
        <w:rPr>
          <w:rFonts w:eastAsia="Arial" w:cs="Arial"/>
          <w:szCs w:val="24"/>
        </w:rPr>
        <w:t xml:space="preserve">ith the </w:t>
      </w:r>
      <w:r w:rsidR="00515B4E">
        <w:rPr>
          <w:rFonts w:eastAsia="Arial" w:cs="Arial"/>
          <w:szCs w:val="24"/>
        </w:rPr>
        <w:t xml:space="preserve">implementation of revised policy </w:t>
      </w:r>
      <w:r w:rsidR="00EF5D27">
        <w:rPr>
          <w:rFonts w:eastAsia="Arial" w:cs="Arial"/>
          <w:szCs w:val="24"/>
        </w:rPr>
        <w:t xml:space="preserve">and inspection frequencies, </w:t>
      </w:r>
      <w:r>
        <w:rPr>
          <w:rFonts w:eastAsia="Arial" w:cs="Arial"/>
          <w:szCs w:val="24"/>
        </w:rPr>
        <w:t xml:space="preserve">during 24/25 </w:t>
      </w:r>
      <w:r w:rsidR="00EF5D27">
        <w:rPr>
          <w:rFonts w:eastAsia="Arial" w:cs="Arial"/>
          <w:szCs w:val="24"/>
        </w:rPr>
        <w:t xml:space="preserve">we </w:t>
      </w:r>
      <w:r w:rsidR="005677DC">
        <w:rPr>
          <w:rFonts w:eastAsia="Arial" w:cs="Arial"/>
          <w:szCs w:val="24"/>
        </w:rPr>
        <w:t>expect</w:t>
      </w:r>
      <w:r w:rsidR="00BD1E44">
        <w:rPr>
          <w:rFonts w:eastAsia="Arial" w:cs="Arial"/>
          <w:szCs w:val="24"/>
        </w:rPr>
        <w:t xml:space="preserve"> a reduction </w:t>
      </w:r>
      <w:r w:rsidR="004E5F2E">
        <w:rPr>
          <w:rFonts w:eastAsia="Arial" w:cs="Arial"/>
          <w:szCs w:val="24"/>
        </w:rPr>
        <w:t>in inspection numbers</w:t>
      </w:r>
      <w:r w:rsidR="00524246">
        <w:rPr>
          <w:rFonts w:eastAsia="Arial" w:cs="Arial"/>
          <w:szCs w:val="24"/>
        </w:rPr>
        <w:t xml:space="preserve">, </w:t>
      </w:r>
      <w:r w:rsidR="005677DC">
        <w:rPr>
          <w:rFonts w:eastAsia="Arial" w:cs="Arial"/>
          <w:szCs w:val="24"/>
        </w:rPr>
        <w:t xml:space="preserve">albeit </w:t>
      </w:r>
      <w:r w:rsidR="005158F1">
        <w:rPr>
          <w:rFonts w:eastAsia="Arial" w:cs="Arial"/>
          <w:szCs w:val="24"/>
        </w:rPr>
        <w:t>anticipat</w:t>
      </w:r>
      <w:r w:rsidR="005677DC">
        <w:rPr>
          <w:rFonts w:eastAsia="Arial" w:cs="Arial"/>
          <w:szCs w:val="24"/>
        </w:rPr>
        <w:t>e</w:t>
      </w:r>
      <w:r w:rsidR="005158F1">
        <w:rPr>
          <w:rFonts w:eastAsia="Arial" w:cs="Arial"/>
          <w:szCs w:val="24"/>
        </w:rPr>
        <w:t xml:space="preserve"> </w:t>
      </w:r>
      <w:r w:rsidR="00576E8C">
        <w:rPr>
          <w:rFonts w:eastAsia="Arial" w:cs="Arial"/>
          <w:szCs w:val="24"/>
        </w:rPr>
        <w:t xml:space="preserve">an </w:t>
      </w:r>
      <w:r w:rsidR="00E500AC">
        <w:rPr>
          <w:rFonts w:eastAsia="Arial" w:cs="Arial"/>
          <w:szCs w:val="24"/>
        </w:rPr>
        <w:t xml:space="preserve">increase </w:t>
      </w:r>
      <w:r w:rsidR="00DD3900">
        <w:rPr>
          <w:rFonts w:eastAsia="Arial" w:cs="Arial"/>
          <w:szCs w:val="24"/>
        </w:rPr>
        <w:t>in capacity for</w:t>
      </w:r>
      <w:r w:rsidR="00576E8C">
        <w:rPr>
          <w:rFonts w:eastAsia="Arial" w:cs="Arial"/>
          <w:szCs w:val="24"/>
        </w:rPr>
        <w:t xml:space="preserve"> </w:t>
      </w:r>
      <w:r w:rsidR="005677DC">
        <w:rPr>
          <w:rFonts w:eastAsia="Arial" w:cs="Arial"/>
          <w:szCs w:val="24"/>
        </w:rPr>
        <w:t>o</w:t>
      </w:r>
      <w:r w:rsidR="00886A24">
        <w:rPr>
          <w:rFonts w:eastAsia="Arial" w:cs="Arial"/>
          <w:szCs w:val="24"/>
        </w:rPr>
        <w:t xml:space="preserve">perational crews. </w:t>
      </w:r>
    </w:p>
    <w:p w14:paraId="4B9D5C70" w14:textId="6AD5DB1A" w:rsidR="00E56475" w:rsidRPr="00A7330A" w:rsidRDefault="59C203A3" w:rsidP="00C260E1">
      <w:pPr>
        <w:pStyle w:val="Heading3"/>
      </w:pPr>
      <w:r w:rsidRPr="00A7330A">
        <w:t>Fire Safety Checks</w:t>
      </w:r>
    </w:p>
    <w:p w14:paraId="657DF8C0" w14:textId="28CABA10" w:rsidR="00E56475" w:rsidRDefault="59C203A3" w:rsidP="009148CC">
      <w:pPr>
        <w:tabs>
          <w:tab w:val="left" w:pos="720"/>
        </w:tabs>
        <w:rPr>
          <w:rFonts w:eastAsia="Arial" w:cs="Arial"/>
          <w:color w:val="000000" w:themeColor="text1"/>
          <w:szCs w:val="24"/>
        </w:rPr>
      </w:pPr>
      <w:r w:rsidRPr="6238DB37">
        <w:rPr>
          <w:rFonts w:eastAsia="Arial" w:cs="Arial"/>
          <w:color w:val="000000" w:themeColor="text1"/>
          <w:szCs w:val="24"/>
        </w:rPr>
        <w:t xml:space="preserve">From 2023 we have committed to an ambitious plan to train all </w:t>
      </w:r>
      <w:r w:rsidR="005677DC">
        <w:rPr>
          <w:rFonts w:eastAsia="Arial" w:cs="Arial"/>
          <w:color w:val="000000" w:themeColor="text1"/>
          <w:szCs w:val="24"/>
        </w:rPr>
        <w:t>f</w:t>
      </w:r>
      <w:r w:rsidRPr="6238DB37">
        <w:rPr>
          <w:rFonts w:eastAsia="Arial" w:cs="Arial"/>
          <w:color w:val="000000" w:themeColor="text1"/>
          <w:szCs w:val="24"/>
        </w:rPr>
        <w:t xml:space="preserve">rontline </w:t>
      </w:r>
      <w:r w:rsidR="005677DC">
        <w:rPr>
          <w:rFonts w:eastAsia="Arial" w:cs="Arial"/>
          <w:color w:val="000000" w:themeColor="text1"/>
          <w:szCs w:val="24"/>
        </w:rPr>
        <w:t>c</w:t>
      </w:r>
      <w:r w:rsidRPr="6238DB37">
        <w:rPr>
          <w:rFonts w:eastAsia="Arial" w:cs="Arial"/>
          <w:color w:val="000000" w:themeColor="text1"/>
          <w:szCs w:val="24"/>
        </w:rPr>
        <w:t xml:space="preserve">rews to obtain a Level 2 Fire Safety qualification – this supports the commitments in our Protection and Response strategies to developing the knowledge of our staff in relation to the built environment and equip them to undertake basic </w:t>
      </w:r>
      <w:r w:rsidR="005677DC">
        <w:rPr>
          <w:rFonts w:eastAsia="Arial" w:cs="Arial"/>
          <w:color w:val="000000" w:themeColor="text1"/>
          <w:szCs w:val="24"/>
        </w:rPr>
        <w:t>f</w:t>
      </w:r>
      <w:r w:rsidRPr="6238DB37">
        <w:rPr>
          <w:rFonts w:eastAsia="Arial" w:cs="Arial"/>
          <w:color w:val="000000" w:themeColor="text1"/>
          <w:szCs w:val="24"/>
        </w:rPr>
        <w:t xml:space="preserve">ire </w:t>
      </w:r>
      <w:r w:rsidR="005677DC">
        <w:rPr>
          <w:rFonts w:eastAsia="Arial" w:cs="Arial"/>
          <w:color w:val="000000" w:themeColor="text1"/>
          <w:szCs w:val="24"/>
        </w:rPr>
        <w:t>s</w:t>
      </w:r>
      <w:r w:rsidRPr="6238DB37">
        <w:rPr>
          <w:rFonts w:eastAsia="Arial" w:cs="Arial"/>
          <w:color w:val="000000" w:themeColor="text1"/>
          <w:szCs w:val="24"/>
        </w:rPr>
        <w:t xml:space="preserve">afety </w:t>
      </w:r>
      <w:r w:rsidR="005677DC">
        <w:rPr>
          <w:rFonts w:eastAsia="Arial" w:cs="Arial"/>
          <w:color w:val="000000" w:themeColor="text1"/>
          <w:szCs w:val="24"/>
        </w:rPr>
        <w:t>c</w:t>
      </w:r>
      <w:r w:rsidRPr="6238DB37">
        <w:rPr>
          <w:rFonts w:eastAsia="Arial" w:cs="Arial"/>
          <w:color w:val="000000" w:themeColor="text1"/>
          <w:szCs w:val="24"/>
        </w:rPr>
        <w:t xml:space="preserve">hecks. We will utilise </w:t>
      </w:r>
      <w:r w:rsidR="005677DC">
        <w:rPr>
          <w:rFonts w:eastAsia="Arial" w:cs="Arial"/>
          <w:color w:val="000000" w:themeColor="text1"/>
          <w:szCs w:val="24"/>
        </w:rPr>
        <w:t>f</w:t>
      </w:r>
      <w:r w:rsidRPr="6238DB37">
        <w:rPr>
          <w:rFonts w:eastAsia="Arial" w:cs="Arial"/>
          <w:color w:val="000000" w:themeColor="text1"/>
          <w:szCs w:val="24"/>
        </w:rPr>
        <w:t xml:space="preserve">ire </w:t>
      </w:r>
      <w:r w:rsidR="005677DC">
        <w:rPr>
          <w:rFonts w:eastAsia="Arial" w:cs="Arial"/>
          <w:color w:val="000000" w:themeColor="text1"/>
          <w:szCs w:val="24"/>
        </w:rPr>
        <w:t>s</w:t>
      </w:r>
      <w:r w:rsidRPr="6238DB37">
        <w:rPr>
          <w:rFonts w:eastAsia="Arial" w:cs="Arial"/>
          <w:color w:val="000000" w:themeColor="text1"/>
          <w:szCs w:val="24"/>
        </w:rPr>
        <w:t xml:space="preserve">afety </w:t>
      </w:r>
      <w:r w:rsidR="005677DC">
        <w:rPr>
          <w:rFonts w:eastAsia="Arial" w:cs="Arial"/>
          <w:color w:val="000000" w:themeColor="text1"/>
          <w:szCs w:val="24"/>
        </w:rPr>
        <w:t>c</w:t>
      </w:r>
      <w:r w:rsidRPr="6238DB37">
        <w:rPr>
          <w:rFonts w:eastAsia="Arial" w:cs="Arial"/>
          <w:color w:val="000000" w:themeColor="text1"/>
          <w:szCs w:val="24"/>
        </w:rPr>
        <w:t xml:space="preserve">hecks to increase and maximise opportunities to capture risk information to inform the Strategic Assessment of Risk, our Risk Based Inspection Programme and Operational Intelligence, better support businesses by providing advice and better protect our communities by identifying risks that need further investigation. Our intention is to utilise </w:t>
      </w:r>
      <w:r w:rsidR="00124FCD">
        <w:rPr>
          <w:rFonts w:eastAsia="Arial" w:cs="Arial"/>
          <w:color w:val="000000" w:themeColor="text1"/>
          <w:szCs w:val="24"/>
        </w:rPr>
        <w:t>f</w:t>
      </w:r>
      <w:r w:rsidRPr="6238DB37">
        <w:rPr>
          <w:rFonts w:eastAsia="Arial" w:cs="Arial"/>
          <w:color w:val="000000" w:themeColor="text1"/>
          <w:szCs w:val="24"/>
        </w:rPr>
        <w:t xml:space="preserve">ire </w:t>
      </w:r>
      <w:r w:rsidR="00124FCD">
        <w:rPr>
          <w:rFonts w:eastAsia="Arial" w:cs="Arial"/>
          <w:color w:val="000000" w:themeColor="text1"/>
          <w:szCs w:val="24"/>
        </w:rPr>
        <w:t>s</w:t>
      </w:r>
      <w:r w:rsidRPr="6238DB37">
        <w:rPr>
          <w:rFonts w:eastAsia="Arial" w:cs="Arial"/>
          <w:color w:val="000000" w:themeColor="text1"/>
          <w:szCs w:val="24"/>
        </w:rPr>
        <w:t xml:space="preserve">afety </w:t>
      </w:r>
      <w:r w:rsidR="00124FCD">
        <w:rPr>
          <w:rFonts w:eastAsia="Arial" w:cs="Arial"/>
          <w:color w:val="000000" w:themeColor="text1"/>
          <w:szCs w:val="24"/>
        </w:rPr>
        <w:t>c</w:t>
      </w:r>
      <w:r w:rsidRPr="6238DB37">
        <w:rPr>
          <w:rFonts w:eastAsia="Arial" w:cs="Arial"/>
          <w:color w:val="000000" w:themeColor="text1"/>
          <w:szCs w:val="24"/>
        </w:rPr>
        <w:t xml:space="preserve">hecks following incidents, in response to emerging risks and as part of </w:t>
      </w:r>
      <w:r w:rsidR="00124FCD">
        <w:rPr>
          <w:rFonts w:eastAsia="Arial" w:cs="Arial"/>
          <w:color w:val="000000" w:themeColor="text1"/>
          <w:szCs w:val="24"/>
        </w:rPr>
        <w:t>o</w:t>
      </w:r>
      <w:r w:rsidRPr="6238DB37">
        <w:rPr>
          <w:rFonts w:eastAsia="Arial" w:cs="Arial"/>
          <w:color w:val="000000" w:themeColor="text1"/>
          <w:szCs w:val="24"/>
        </w:rPr>
        <w:t xml:space="preserve">perational </w:t>
      </w:r>
      <w:r w:rsidR="00124FCD">
        <w:rPr>
          <w:rFonts w:eastAsia="Arial" w:cs="Arial"/>
          <w:color w:val="000000" w:themeColor="text1"/>
          <w:szCs w:val="24"/>
        </w:rPr>
        <w:t>i</w:t>
      </w:r>
      <w:r w:rsidRPr="6238DB37">
        <w:rPr>
          <w:rFonts w:eastAsia="Arial" w:cs="Arial"/>
          <w:color w:val="000000" w:themeColor="text1"/>
          <w:szCs w:val="24"/>
        </w:rPr>
        <w:t>ntelligence gathering in a flexible way that recognises the different risk profiles.</w:t>
      </w:r>
      <w:r w:rsidR="00227D3D">
        <w:rPr>
          <w:rFonts w:eastAsia="Arial" w:cs="Arial"/>
          <w:color w:val="000000" w:themeColor="text1"/>
          <w:szCs w:val="24"/>
        </w:rPr>
        <w:t xml:space="preserve"> </w:t>
      </w:r>
      <w:r w:rsidR="006105D6">
        <w:rPr>
          <w:rFonts w:eastAsia="Arial" w:cs="Arial"/>
          <w:color w:val="000000" w:themeColor="text1"/>
          <w:szCs w:val="24"/>
        </w:rPr>
        <w:t xml:space="preserve">As this is a </w:t>
      </w:r>
      <w:proofErr w:type="gramStart"/>
      <w:r w:rsidR="006105D6">
        <w:rPr>
          <w:rFonts w:eastAsia="Arial" w:cs="Arial"/>
          <w:color w:val="000000" w:themeColor="text1"/>
          <w:szCs w:val="24"/>
        </w:rPr>
        <w:t>two year</w:t>
      </w:r>
      <w:proofErr w:type="gramEnd"/>
      <w:r w:rsidR="006105D6">
        <w:rPr>
          <w:rFonts w:eastAsia="Arial" w:cs="Arial"/>
          <w:color w:val="000000" w:themeColor="text1"/>
          <w:szCs w:val="24"/>
        </w:rPr>
        <w:t xml:space="preserve"> plan</w:t>
      </w:r>
      <w:r w:rsidR="002A479C">
        <w:rPr>
          <w:rFonts w:eastAsia="Arial" w:cs="Arial"/>
          <w:color w:val="000000" w:themeColor="text1"/>
          <w:szCs w:val="24"/>
        </w:rPr>
        <w:t xml:space="preserve"> to train</w:t>
      </w:r>
      <w:r w:rsidR="00351B6E">
        <w:rPr>
          <w:rFonts w:eastAsia="Arial" w:cs="Arial"/>
          <w:color w:val="000000" w:themeColor="text1"/>
          <w:szCs w:val="24"/>
        </w:rPr>
        <w:t xml:space="preserve"> Operational crews</w:t>
      </w:r>
      <w:r w:rsidR="002A479C">
        <w:rPr>
          <w:rFonts w:eastAsia="Arial" w:cs="Arial"/>
          <w:color w:val="000000" w:themeColor="text1"/>
          <w:szCs w:val="24"/>
        </w:rPr>
        <w:t>, we</w:t>
      </w:r>
      <w:r w:rsidR="00351B6E">
        <w:rPr>
          <w:rFonts w:eastAsia="Arial" w:cs="Arial"/>
          <w:color w:val="000000" w:themeColor="text1"/>
          <w:szCs w:val="24"/>
        </w:rPr>
        <w:t xml:space="preserve"> will commence </w:t>
      </w:r>
      <w:r w:rsidR="00124FCD">
        <w:rPr>
          <w:rFonts w:eastAsia="Arial" w:cs="Arial"/>
          <w:color w:val="000000" w:themeColor="text1"/>
          <w:szCs w:val="24"/>
        </w:rPr>
        <w:t>f</w:t>
      </w:r>
      <w:r w:rsidR="00351B6E">
        <w:rPr>
          <w:rFonts w:eastAsia="Arial" w:cs="Arial"/>
          <w:color w:val="000000" w:themeColor="text1"/>
          <w:szCs w:val="24"/>
        </w:rPr>
        <w:t xml:space="preserve">ire </w:t>
      </w:r>
      <w:r w:rsidR="00124FCD">
        <w:rPr>
          <w:rFonts w:eastAsia="Arial" w:cs="Arial"/>
          <w:color w:val="000000" w:themeColor="text1"/>
          <w:szCs w:val="24"/>
        </w:rPr>
        <w:t>s</w:t>
      </w:r>
      <w:r w:rsidR="00351B6E">
        <w:rPr>
          <w:rFonts w:eastAsia="Arial" w:cs="Arial"/>
          <w:color w:val="000000" w:themeColor="text1"/>
          <w:szCs w:val="24"/>
        </w:rPr>
        <w:t>afety checks</w:t>
      </w:r>
      <w:r w:rsidR="006105D6">
        <w:rPr>
          <w:rFonts w:eastAsia="Arial" w:cs="Arial"/>
          <w:color w:val="000000" w:themeColor="text1"/>
          <w:szCs w:val="24"/>
        </w:rPr>
        <w:t xml:space="preserve"> </w:t>
      </w:r>
      <w:r w:rsidR="007E0F8C">
        <w:rPr>
          <w:rFonts w:eastAsia="Arial" w:cs="Arial"/>
          <w:color w:val="000000" w:themeColor="text1"/>
          <w:szCs w:val="24"/>
        </w:rPr>
        <w:t>in 2024.</w:t>
      </w:r>
    </w:p>
    <w:p w14:paraId="1B33A365" w14:textId="12D2CC2D" w:rsidR="00807337" w:rsidRPr="009E0B94" w:rsidRDefault="009E0B94" w:rsidP="009148CC">
      <w:pPr>
        <w:tabs>
          <w:tab w:val="left" w:pos="720"/>
        </w:tabs>
        <w:rPr>
          <w:rFonts w:eastAsia="Arial" w:cs="Arial"/>
          <w:color w:val="auto"/>
          <w:szCs w:val="24"/>
        </w:rPr>
      </w:pPr>
      <w:r w:rsidRPr="009E0B94">
        <w:rPr>
          <w:rFonts w:eastAsia="Arial" w:cs="Arial"/>
          <w:color w:val="auto"/>
          <w:szCs w:val="24"/>
        </w:rPr>
        <w:t xml:space="preserve">We anticipate that following training we will utilise fire safety checks to gather up to date risk information for at least 1000 premises per year and </w:t>
      </w:r>
      <w:r w:rsidR="00124FCD">
        <w:rPr>
          <w:rFonts w:eastAsia="Arial" w:cs="Arial"/>
          <w:color w:val="auto"/>
          <w:szCs w:val="24"/>
        </w:rPr>
        <w:t xml:space="preserve">provide </w:t>
      </w:r>
      <w:r w:rsidRPr="009E0B94">
        <w:rPr>
          <w:rFonts w:eastAsia="Arial" w:cs="Arial"/>
          <w:color w:val="auto"/>
          <w:szCs w:val="24"/>
        </w:rPr>
        <w:t>advice on fire safety to at least half of these. We anticipate that this will increase incrementally each year.</w:t>
      </w:r>
    </w:p>
    <w:p w14:paraId="5C85A3E5" w14:textId="0DD2B498" w:rsidR="00E56475" w:rsidRDefault="59C203A3" w:rsidP="00C260E1">
      <w:pPr>
        <w:pStyle w:val="Heading3"/>
      </w:pPr>
      <w:r w:rsidRPr="6238DB37">
        <w:t>Firework Licensing Visits</w:t>
      </w:r>
    </w:p>
    <w:p w14:paraId="4699298C" w14:textId="74F79331" w:rsidR="00E56475" w:rsidRDefault="59C203A3">
      <w:pPr>
        <w:rPr>
          <w:rFonts w:eastAsia="Arial" w:cs="Arial"/>
          <w:szCs w:val="24"/>
        </w:rPr>
      </w:pPr>
      <w:r w:rsidRPr="6238DB37">
        <w:rPr>
          <w:rFonts w:eastAsia="Arial" w:cs="Arial"/>
          <w:szCs w:val="24"/>
        </w:rPr>
        <w:t xml:space="preserve">Retail premises that apply for a license to sell fireworks are inspected by operational crews, with </w:t>
      </w:r>
      <w:r w:rsidR="007025C5" w:rsidRPr="6238DB37">
        <w:rPr>
          <w:rFonts w:eastAsia="Arial" w:cs="Arial"/>
          <w:szCs w:val="24"/>
        </w:rPr>
        <w:t>m</w:t>
      </w:r>
      <w:r w:rsidR="007025C5">
        <w:rPr>
          <w:rFonts w:eastAsia="Arial" w:cs="Arial"/>
          <w:szCs w:val="24"/>
        </w:rPr>
        <w:t>uch</w:t>
      </w:r>
      <w:r w:rsidR="28A060D6" w:rsidRPr="6238DB37">
        <w:rPr>
          <w:rFonts w:eastAsia="Arial" w:cs="Arial"/>
          <w:szCs w:val="24"/>
        </w:rPr>
        <w:t xml:space="preserve"> </w:t>
      </w:r>
      <w:r w:rsidRPr="6238DB37">
        <w:rPr>
          <w:rFonts w:eastAsia="Arial" w:cs="Arial"/>
          <w:szCs w:val="24"/>
        </w:rPr>
        <w:t xml:space="preserve">of the work </w:t>
      </w:r>
      <w:r w:rsidR="659E066F" w:rsidRPr="6238DB37">
        <w:rPr>
          <w:rFonts w:eastAsia="Arial" w:cs="Arial"/>
          <w:szCs w:val="24"/>
        </w:rPr>
        <w:t>taking place</w:t>
      </w:r>
      <w:r w:rsidRPr="6238DB37">
        <w:rPr>
          <w:rFonts w:eastAsia="Arial" w:cs="Arial"/>
          <w:szCs w:val="24"/>
        </w:rPr>
        <w:t xml:space="preserve"> in the lead up to Bonfire Night.</w:t>
      </w:r>
      <w:r w:rsidR="006A102A">
        <w:rPr>
          <w:rFonts w:eastAsia="Arial" w:cs="Arial"/>
          <w:szCs w:val="24"/>
        </w:rPr>
        <w:t xml:space="preserve"> </w:t>
      </w:r>
      <w:r w:rsidR="00A0238D">
        <w:rPr>
          <w:rFonts w:eastAsia="Arial" w:cs="Arial"/>
          <w:szCs w:val="24"/>
        </w:rPr>
        <w:t xml:space="preserve">In recent </w:t>
      </w:r>
      <w:r w:rsidR="00323E45">
        <w:rPr>
          <w:rFonts w:eastAsia="Arial" w:cs="Arial"/>
          <w:szCs w:val="24"/>
        </w:rPr>
        <w:t>years the amount of fire</w:t>
      </w:r>
      <w:r w:rsidR="00357136">
        <w:rPr>
          <w:rFonts w:eastAsia="Arial" w:cs="Arial"/>
          <w:szCs w:val="24"/>
        </w:rPr>
        <w:t xml:space="preserve">work licenses </w:t>
      </w:r>
      <w:r w:rsidR="00C12420">
        <w:rPr>
          <w:rFonts w:eastAsia="Arial" w:cs="Arial"/>
          <w:szCs w:val="24"/>
        </w:rPr>
        <w:t xml:space="preserve">applied for has varied </w:t>
      </w:r>
      <w:r w:rsidR="00F23838">
        <w:rPr>
          <w:rFonts w:eastAsia="Arial" w:cs="Arial"/>
          <w:szCs w:val="24"/>
        </w:rPr>
        <w:t xml:space="preserve">from </w:t>
      </w:r>
      <w:r w:rsidR="00C12420">
        <w:rPr>
          <w:rFonts w:eastAsia="Arial" w:cs="Arial"/>
          <w:szCs w:val="24"/>
        </w:rPr>
        <w:t xml:space="preserve">250 </w:t>
      </w:r>
      <w:r w:rsidR="00F23838">
        <w:rPr>
          <w:rFonts w:eastAsia="Arial" w:cs="Arial"/>
          <w:szCs w:val="24"/>
        </w:rPr>
        <w:t>to</w:t>
      </w:r>
      <w:r w:rsidR="00C12420">
        <w:rPr>
          <w:rFonts w:eastAsia="Arial" w:cs="Arial"/>
          <w:szCs w:val="24"/>
        </w:rPr>
        <w:t xml:space="preserve"> 330</w:t>
      </w:r>
      <w:r w:rsidR="00F32298">
        <w:rPr>
          <w:rFonts w:eastAsia="Arial" w:cs="Arial"/>
          <w:szCs w:val="24"/>
        </w:rPr>
        <w:t>,</w:t>
      </w:r>
      <w:r w:rsidR="00B017F1">
        <w:rPr>
          <w:rFonts w:eastAsia="Arial" w:cs="Arial"/>
          <w:szCs w:val="24"/>
        </w:rPr>
        <w:t xml:space="preserve"> </w:t>
      </w:r>
      <w:r w:rsidR="001F6BB9">
        <w:rPr>
          <w:rFonts w:eastAsia="Arial" w:cs="Arial"/>
          <w:szCs w:val="24"/>
        </w:rPr>
        <w:t xml:space="preserve">with the </w:t>
      </w:r>
      <w:r w:rsidR="00F32298">
        <w:rPr>
          <w:rFonts w:eastAsia="Arial" w:cs="Arial"/>
          <w:szCs w:val="24"/>
        </w:rPr>
        <w:t>number</w:t>
      </w:r>
      <w:r w:rsidR="001F6BB9">
        <w:rPr>
          <w:rFonts w:eastAsia="Arial" w:cs="Arial"/>
          <w:szCs w:val="24"/>
        </w:rPr>
        <w:t xml:space="preserve"> of</w:t>
      </w:r>
      <w:r w:rsidR="00B017F1">
        <w:rPr>
          <w:rFonts w:eastAsia="Arial" w:cs="Arial"/>
          <w:szCs w:val="24"/>
        </w:rPr>
        <w:t xml:space="preserve"> </w:t>
      </w:r>
      <w:r w:rsidR="00F32298">
        <w:rPr>
          <w:rFonts w:eastAsia="Arial" w:cs="Arial"/>
          <w:szCs w:val="24"/>
        </w:rPr>
        <w:t xml:space="preserve">inspections carried out by </w:t>
      </w:r>
      <w:r w:rsidR="00124FCD">
        <w:rPr>
          <w:rFonts w:eastAsia="Arial" w:cs="Arial"/>
          <w:szCs w:val="24"/>
        </w:rPr>
        <w:t>o</w:t>
      </w:r>
      <w:r w:rsidR="00F32298">
        <w:rPr>
          <w:rFonts w:eastAsia="Arial" w:cs="Arial"/>
          <w:szCs w:val="24"/>
        </w:rPr>
        <w:t xml:space="preserve">perational </w:t>
      </w:r>
      <w:r w:rsidR="00F9762B">
        <w:rPr>
          <w:rFonts w:eastAsia="Arial" w:cs="Arial"/>
          <w:szCs w:val="24"/>
        </w:rPr>
        <w:t>crew’s</w:t>
      </w:r>
      <w:r w:rsidR="00F32298">
        <w:rPr>
          <w:rFonts w:eastAsia="Arial" w:cs="Arial"/>
          <w:szCs w:val="24"/>
        </w:rPr>
        <w:t xml:space="preserve"> </w:t>
      </w:r>
      <w:r w:rsidR="00B017F1">
        <w:rPr>
          <w:rFonts w:eastAsia="Arial" w:cs="Arial"/>
          <w:szCs w:val="24"/>
        </w:rPr>
        <w:t xml:space="preserve">dependent </w:t>
      </w:r>
      <w:r w:rsidR="00F32298">
        <w:rPr>
          <w:rFonts w:eastAsia="Arial" w:cs="Arial"/>
          <w:szCs w:val="24"/>
        </w:rPr>
        <w:t>on demand for licenses</w:t>
      </w:r>
      <w:r w:rsidR="0050273A">
        <w:rPr>
          <w:rFonts w:eastAsia="Arial" w:cs="Arial"/>
          <w:szCs w:val="24"/>
        </w:rPr>
        <w:t xml:space="preserve">. </w:t>
      </w:r>
    </w:p>
    <w:p w14:paraId="1BD0A25D" w14:textId="782F77C6" w:rsidR="00F77C99" w:rsidRDefault="59C203A3" w:rsidP="0074247B">
      <w:pPr>
        <w:rPr>
          <w:rFonts w:eastAsia="Arial" w:cs="Arial"/>
          <w:b/>
          <w:bCs/>
          <w:szCs w:val="24"/>
        </w:rPr>
      </w:pPr>
      <w:r w:rsidRPr="6238DB37">
        <w:rPr>
          <w:rFonts w:eastAsia="Arial" w:cs="Arial"/>
          <w:szCs w:val="24"/>
        </w:rPr>
        <w:lastRenderedPageBreak/>
        <w:t>Productivity Measure: Data entered on mobile “Firework App” on completion of site visit by Watch Officer will be used to verify increase in productivity from 282 visits</w:t>
      </w:r>
      <w:r w:rsidR="72E4890B" w:rsidRPr="6238DB37">
        <w:rPr>
          <w:rFonts w:eastAsia="Arial" w:cs="Arial"/>
          <w:szCs w:val="24"/>
        </w:rPr>
        <w:t xml:space="preserve"> in</w:t>
      </w:r>
      <w:r w:rsidRPr="6238DB37">
        <w:rPr>
          <w:rFonts w:eastAsia="Arial" w:cs="Arial"/>
          <w:szCs w:val="24"/>
        </w:rPr>
        <w:t xml:space="preserve"> 22/23</w:t>
      </w:r>
      <w:r w:rsidR="613C4C89" w:rsidRPr="6238DB37">
        <w:rPr>
          <w:rFonts w:eastAsia="Arial" w:cs="Arial"/>
          <w:szCs w:val="24"/>
        </w:rPr>
        <w:t>,</w:t>
      </w:r>
      <w:r w:rsidRPr="6238DB37">
        <w:rPr>
          <w:rFonts w:eastAsia="Arial" w:cs="Arial"/>
          <w:szCs w:val="24"/>
        </w:rPr>
        <w:t xml:space="preserve"> to 304 visits for years 23/24 and 24/25 respectively.</w:t>
      </w:r>
    </w:p>
    <w:p w14:paraId="147AFA13" w14:textId="319AD456" w:rsidR="00C43FEC" w:rsidRDefault="00C43FEC" w:rsidP="00C260E1">
      <w:pPr>
        <w:pStyle w:val="Heading3"/>
      </w:pPr>
      <w:r w:rsidRPr="0074247B">
        <w:t>Volunteering</w:t>
      </w:r>
      <w:r w:rsidR="00921089">
        <w:t xml:space="preserve"> </w:t>
      </w:r>
    </w:p>
    <w:p w14:paraId="195D045D" w14:textId="3C704A4D" w:rsidR="00180DC2" w:rsidRDefault="00AC207E" w:rsidP="00B5043F">
      <w:pPr>
        <w:rPr>
          <w:color w:val="auto"/>
        </w:rPr>
      </w:pPr>
      <w:r w:rsidRPr="000C4242">
        <w:rPr>
          <w:color w:val="auto"/>
        </w:rPr>
        <w:t>With increasing demands on resources, it is essential to explore alternative ways of enhancing the service we provide</w:t>
      </w:r>
      <w:r w:rsidR="008632B4" w:rsidRPr="000C4242">
        <w:rPr>
          <w:color w:val="auto"/>
        </w:rPr>
        <w:t xml:space="preserve">.  </w:t>
      </w:r>
      <w:r w:rsidR="005B4050" w:rsidRPr="000C4242">
        <w:rPr>
          <w:color w:val="auto"/>
        </w:rPr>
        <w:t>One way to achieve this is</w:t>
      </w:r>
      <w:r w:rsidR="000C4242" w:rsidRPr="000C4242">
        <w:rPr>
          <w:color w:val="auto"/>
        </w:rPr>
        <w:t xml:space="preserve"> through o</w:t>
      </w:r>
      <w:r w:rsidR="00FD74D4" w:rsidRPr="000C4242">
        <w:rPr>
          <w:color w:val="auto"/>
        </w:rPr>
        <w:t xml:space="preserve">ur </w:t>
      </w:r>
      <w:r w:rsidR="00B15924" w:rsidRPr="000C4242">
        <w:rPr>
          <w:color w:val="auto"/>
        </w:rPr>
        <w:t xml:space="preserve">new Volunteering Strategy </w:t>
      </w:r>
      <w:r w:rsidR="00C63702">
        <w:rPr>
          <w:color w:val="auto"/>
        </w:rPr>
        <w:t xml:space="preserve">that aligns with our strategic priorities.  </w:t>
      </w:r>
      <w:r w:rsidR="006E7F86">
        <w:rPr>
          <w:color w:val="auto"/>
        </w:rPr>
        <w:t xml:space="preserve">This </w:t>
      </w:r>
      <w:r w:rsidR="006513F3">
        <w:rPr>
          <w:color w:val="auto"/>
        </w:rPr>
        <w:t>S</w:t>
      </w:r>
      <w:r w:rsidR="006E7F86">
        <w:rPr>
          <w:color w:val="auto"/>
        </w:rPr>
        <w:t>trategy aims to provide a framework which maximises the potential of volunteering</w:t>
      </w:r>
      <w:r w:rsidR="00FE0029">
        <w:rPr>
          <w:color w:val="auto"/>
        </w:rPr>
        <w:t xml:space="preserve"> and enhances the services we deliver to our communities.</w:t>
      </w:r>
      <w:r w:rsidR="00A80F19">
        <w:rPr>
          <w:color w:val="auto"/>
        </w:rPr>
        <w:t xml:space="preserve">  </w:t>
      </w:r>
    </w:p>
    <w:p w14:paraId="72232128" w14:textId="316CD5FA" w:rsidR="003D176B" w:rsidRDefault="003D176B" w:rsidP="00DB7274">
      <w:pPr>
        <w:spacing w:after="80"/>
      </w:pPr>
      <w:r>
        <w:rPr>
          <w:color w:val="auto"/>
        </w:rPr>
        <w:t xml:space="preserve">The Strategy will </w:t>
      </w:r>
      <w:r w:rsidR="00BF50F2">
        <w:rPr>
          <w:color w:val="auto"/>
        </w:rPr>
        <w:t xml:space="preserve">initially </w:t>
      </w:r>
      <w:r>
        <w:rPr>
          <w:color w:val="auto"/>
        </w:rPr>
        <w:t xml:space="preserve">focus </w:t>
      </w:r>
      <w:r w:rsidR="001A1974">
        <w:rPr>
          <w:color w:val="auto"/>
        </w:rPr>
        <w:t>on developing volunteer support in seven key areas:</w:t>
      </w:r>
    </w:p>
    <w:p w14:paraId="415FF9FF" w14:textId="4DC231DB" w:rsidR="00B83802" w:rsidRDefault="00B83802" w:rsidP="00BC6089">
      <w:pPr>
        <w:pStyle w:val="ListParagraph"/>
        <w:numPr>
          <w:ilvl w:val="0"/>
          <w:numId w:val="11"/>
        </w:numPr>
      </w:pPr>
      <w:r>
        <w:t xml:space="preserve">Community and Business Engagement Volunteers to support our corporate and area campaigns, activities and </w:t>
      </w:r>
      <w:proofErr w:type="gramStart"/>
      <w:r>
        <w:t>initiatives</w:t>
      </w:r>
      <w:proofErr w:type="gramEnd"/>
      <w:r>
        <w:t xml:space="preserve"> </w:t>
      </w:r>
    </w:p>
    <w:p w14:paraId="0691D2A0" w14:textId="26AC3BC7" w:rsidR="00B83802" w:rsidRDefault="00B83802" w:rsidP="00BC6089">
      <w:pPr>
        <w:pStyle w:val="ListParagraph"/>
        <w:numPr>
          <w:ilvl w:val="0"/>
          <w:numId w:val="11"/>
        </w:numPr>
      </w:pPr>
      <w:r>
        <w:t xml:space="preserve">HFSA targeted activity </w:t>
      </w:r>
    </w:p>
    <w:p w14:paraId="698CAB04" w14:textId="74ADDB07" w:rsidR="00B83802" w:rsidRDefault="00B83802" w:rsidP="00BC6089">
      <w:pPr>
        <w:pStyle w:val="ListParagraph"/>
        <w:numPr>
          <w:ilvl w:val="0"/>
          <w:numId w:val="11"/>
        </w:numPr>
      </w:pPr>
      <w:r>
        <w:t xml:space="preserve">Prevention Education – BTSC support, Cadets, Prince’s Trust </w:t>
      </w:r>
    </w:p>
    <w:p w14:paraId="7E86BAF5" w14:textId="687E8BDD" w:rsidR="00BF50F2" w:rsidRDefault="00B83802" w:rsidP="00BC6089">
      <w:pPr>
        <w:pStyle w:val="ListParagraph"/>
        <w:numPr>
          <w:ilvl w:val="0"/>
          <w:numId w:val="11"/>
        </w:numPr>
      </w:pPr>
      <w:r>
        <w:t xml:space="preserve">Operational Training support – live casualties for realistic scenarios </w:t>
      </w:r>
    </w:p>
    <w:p w14:paraId="7A0CEBF3" w14:textId="26B5F083" w:rsidR="00B83802" w:rsidRDefault="00B83802" w:rsidP="00BC6089">
      <w:pPr>
        <w:pStyle w:val="ListParagraph"/>
        <w:numPr>
          <w:ilvl w:val="0"/>
          <w:numId w:val="11"/>
        </w:numPr>
      </w:pPr>
      <w:r>
        <w:t>Equality, Diversity and Inclusivity function for volunteers to support delivery of our</w:t>
      </w:r>
      <w:r w:rsidR="00BF50F2">
        <w:t xml:space="preserve"> </w:t>
      </w:r>
      <w:r>
        <w:t xml:space="preserve">EDI Strategy </w:t>
      </w:r>
    </w:p>
    <w:p w14:paraId="00A3D133" w14:textId="042D2E96" w:rsidR="00B83802" w:rsidRDefault="00B83802" w:rsidP="00BC6089">
      <w:pPr>
        <w:pStyle w:val="ListParagraph"/>
        <w:numPr>
          <w:ilvl w:val="0"/>
          <w:numId w:val="11"/>
        </w:numPr>
      </w:pPr>
      <w:r>
        <w:t xml:space="preserve">Community Response Volunteers – the ability to flex to meet evolving </w:t>
      </w:r>
      <w:proofErr w:type="gramStart"/>
      <w:r>
        <w:t>needs</w:t>
      </w:r>
      <w:proofErr w:type="gramEnd"/>
      <w:r>
        <w:t xml:space="preserve"> </w:t>
      </w:r>
    </w:p>
    <w:p w14:paraId="7820D0F7" w14:textId="24093C37" w:rsidR="00E56475" w:rsidRPr="00445DE9" w:rsidRDefault="00B83802" w:rsidP="00BC6089">
      <w:pPr>
        <w:pStyle w:val="ListParagraph"/>
        <w:numPr>
          <w:ilvl w:val="0"/>
          <w:numId w:val="11"/>
        </w:numPr>
        <w:rPr>
          <w:rFonts w:eastAsia="Arial" w:cs="Arial"/>
          <w:szCs w:val="24"/>
        </w:rPr>
      </w:pPr>
      <w:r>
        <w:t xml:space="preserve">Integration of pastoral support volunteers </w:t>
      </w:r>
      <w:proofErr w:type="gramStart"/>
      <w:r>
        <w:t>in to</w:t>
      </w:r>
      <w:proofErr w:type="gramEnd"/>
      <w:r>
        <w:t xml:space="preserve"> Wellbeing and Occupational Health to assist signposting to support channels</w:t>
      </w:r>
    </w:p>
    <w:p w14:paraId="1241291C" w14:textId="6AD00EC9" w:rsidR="00180DC2" w:rsidRDefault="0090391D" w:rsidP="00C260E1">
      <w:pPr>
        <w:rPr>
          <w:rFonts w:eastAsia="Arial" w:cs="Arial"/>
          <w:szCs w:val="24"/>
        </w:rPr>
      </w:pPr>
      <w:r>
        <w:rPr>
          <w:rFonts w:eastAsia="Arial" w:cs="Arial"/>
          <w:szCs w:val="24"/>
        </w:rPr>
        <w:t xml:space="preserve">This </w:t>
      </w:r>
      <w:r w:rsidR="006513F3">
        <w:rPr>
          <w:rFonts w:eastAsia="Arial" w:cs="Arial"/>
          <w:szCs w:val="24"/>
        </w:rPr>
        <w:t xml:space="preserve">Strategy </w:t>
      </w:r>
      <w:r w:rsidR="002A7D18">
        <w:rPr>
          <w:rFonts w:eastAsia="Arial" w:cs="Arial"/>
          <w:szCs w:val="24"/>
        </w:rPr>
        <w:t>will allow us to work co</w:t>
      </w:r>
      <w:r w:rsidR="00AD44B7">
        <w:rPr>
          <w:rFonts w:eastAsia="Arial" w:cs="Arial"/>
          <w:szCs w:val="24"/>
        </w:rPr>
        <w:t>llaboratively with volunteers</w:t>
      </w:r>
      <w:r w:rsidR="00912A06">
        <w:rPr>
          <w:rFonts w:eastAsia="Arial" w:cs="Arial"/>
          <w:szCs w:val="24"/>
        </w:rPr>
        <w:t xml:space="preserve">, improving our productivity </w:t>
      </w:r>
      <w:r w:rsidR="00CB041B">
        <w:rPr>
          <w:rFonts w:eastAsia="Arial" w:cs="Arial"/>
          <w:szCs w:val="24"/>
        </w:rPr>
        <w:t xml:space="preserve">and providing </w:t>
      </w:r>
      <w:r w:rsidR="00B36173">
        <w:rPr>
          <w:rFonts w:eastAsia="Arial" w:cs="Arial"/>
          <w:szCs w:val="24"/>
        </w:rPr>
        <w:t>efficienc</w:t>
      </w:r>
      <w:r w:rsidR="0058328C">
        <w:rPr>
          <w:rFonts w:eastAsia="Arial" w:cs="Arial"/>
          <w:szCs w:val="24"/>
        </w:rPr>
        <w:t>ies</w:t>
      </w:r>
      <w:r w:rsidR="00693401">
        <w:rPr>
          <w:rFonts w:eastAsia="Arial" w:cs="Arial"/>
          <w:szCs w:val="24"/>
        </w:rPr>
        <w:t xml:space="preserve"> </w:t>
      </w:r>
      <w:r w:rsidR="000068F8">
        <w:rPr>
          <w:rFonts w:eastAsia="Arial" w:cs="Arial"/>
          <w:szCs w:val="24"/>
        </w:rPr>
        <w:t>through the delivery of these seven key areas.</w:t>
      </w:r>
    </w:p>
    <w:p w14:paraId="549904D6" w14:textId="724063AA" w:rsidR="000F75D7" w:rsidRDefault="000F75D7" w:rsidP="009E7B84">
      <w:pPr>
        <w:pStyle w:val="Heading2"/>
      </w:pPr>
      <w:bookmarkStart w:id="20" w:name="_Toc130991398"/>
      <w:r>
        <w:t>Appendix</w:t>
      </w:r>
      <w:r w:rsidR="005A61BA">
        <w:t xml:space="preserve"> A – Efficiency Plan</w:t>
      </w:r>
      <w:bookmarkEnd w:id="20"/>
    </w:p>
    <w:p w14:paraId="1BAC2F67" w14:textId="5D56D293" w:rsidR="005A61BA" w:rsidRPr="00BC6089" w:rsidRDefault="00BC6089" w:rsidP="00BC6089">
      <w:pPr>
        <w:pStyle w:val="ListParagraph"/>
        <w:rPr>
          <w:color w:val="FF0000"/>
          <w:szCs w:val="24"/>
        </w:rPr>
      </w:pPr>
      <w:hyperlink r:id="rId18" w:history="1">
        <w:r w:rsidRPr="00BC6089">
          <w:rPr>
            <w:rStyle w:val="Hyperlink"/>
          </w:rPr>
          <w:t xml:space="preserve">Efficiency template (Excel, </w:t>
        </w:r>
        <w:r w:rsidRPr="00BC6089">
          <w:rPr>
            <w:rStyle w:val="Hyperlink"/>
          </w:rPr>
          <w:t>31.5 KB</w:t>
        </w:r>
        <w:r w:rsidRPr="00BC6089">
          <w:rPr>
            <w:rStyle w:val="Hyperlink"/>
          </w:rPr>
          <w:t>)</w:t>
        </w:r>
      </w:hyperlink>
    </w:p>
    <w:sectPr w:rsidR="005A61BA" w:rsidRPr="00BC6089" w:rsidSect="00147017">
      <w:headerReference w:type="first" r:id="rId19"/>
      <w:pgSz w:w="11906" w:h="16838" w:code="9"/>
      <w:pgMar w:top="1440" w:right="1440" w:bottom="993" w:left="1440" w:header="709" w:footer="19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ccessibility Reminder" w:initials="">
    <w:p w14:paraId="37953517" w14:textId="77777777" w:rsidR="00343A0C" w:rsidRDefault="00343A0C" w:rsidP="00B24738">
      <w:pPr>
        <w:pStyle w:val="CommentText"/>
      </w:pPr>
      <w:r>
        <w:rPr>
          <w:color w:val="262626"/>
        </w:rPr>
        <w:t>The details of this chart are not provided in the body text and alt-text is limited. Please can you provide a table of the data instead.</w:t>
      </w:r>
    </w:p>
  </w:comment>
  <w:comment w:id="15" w:author="Accessibility Reminder" w:initials="">
    <w:p w14:paraId="52DB9647" w14:textId="77777777" w:rsidR="00343A0C" w:rsidRDefault="00343A0C" w:rsidP="00633370">
      <w:pPr>
        <w:pStyle w:val="CommentText"/>
      </w:pPr>
      <w:r>
        <w:rPr>
          <w:color w:val="262626"/>
        </w:rPr>
        <w:t>The details of this chart are not provided in the body text and alt-text is limited. Please can you provide a table of the data instead.</w:t>
      </w:r>
    </w:p>
  </w:comment>
  <w:comment w:id="17" w:author="Accessibility Reminder" w:initials="">
    <w:p w14:paraId="22DF80ED" w14:textId="77777777" w:rsidR="004C4036" w:rsidRDefault="004C4036" w:rsidP="000F06B5">
      <w:pPr>
        <w:pStyle w:val="CommentText"/>
      </w:pPr>
      <w:r>
        <w:rPr>
          <w:color w:val="262626"/>
        </w:rPr>
        <w:t xml:space="preserve">This budget table is not accessible - please see this link for hints and tips around this: </w:t>
      </w:r>
      <w:hyperlink r:id="rId1" w:history="1">
        <w:r w:rsidRPr="000F06B5">
          <w:rPr>
            <w:rStyle w:val="Hyperlink"/>
          </w:rPr>
          <w:t>Accessible annual report financial tables - common problems and solutions - ADD (accessible-digital-documents.com)</w:t>
        </w:r>
      </w:hyperlink>
      <w:r>
        <w:rPr>
          <w:color w:val="262626"/>
        </w:rPr>
        <w:t xml:space="preserve"> </w:t>
      </w:r>
    </w:p>
  </w:comment>
  <w:comment w:id="18" w:author="Accessibility Reminder" w:initials="">
    <w:p w14:paraId="119547F9" w14:textId="77777777" w:rsidR="004C4036" w:rsidRDefault="004C4036" w:rsidP="00801730">
      <w:pPr>
        <w:pStyle w:val="CommentText"/>
      </w:pPr>
      <w:r>
        <w:rPr>
          <w:color w:val="262626"/>
        </w:rPr>
        <w:t xml:space="preserve">This budget table is not accessible - please see this link for hints and tips around this: </w:t>
      </w:r>
      <w:hyperlink r:id="rId2" w:history="1">
        <w:r w:rsidRPr="00801730">
          <w:rPr>
            <w:rStyle w:val="Hyperlink"/>
          </w:rPr>
          <w:t>Accessible annual report financial tables - common problems and solutions - ADD (accessible-digital-documents.com)</w:t>
        </w:r>
      </w:hyperlink>
      <w:r>
        <w:rPr>
          <w:color w:val="262626"/>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953517" w15:done="0"/>
  <w15:commentEx w15:paraId="52DB9647" w15:done="0"/>
  <w15:commentEx w15:paraId="22DF80ED" w15:done="0"/>
  <w15:commentEx w15:paraId="11954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53517" w16cid:durableId="2808E27F"/>
  <w16cid:commentId w16cid:paraId="52DB9647" w16cid:durableId="2808E2B6"/>
  <w16cid:commentId w16cid:paraId="22DF80ED" w16cid:durableId="2808E61D"/>
  <w16cid:commentId w16cid:paraId="119547F9" w16cid:durableId="280C8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14A1" w14:textId="77777777" w:rsidR="00A23D44" w:rsidRDefault="00A23D44" w:rsidP="00480DA1">
      <w:pPr>
        <w:spacing w:after="0" w:line="240" w:lineRule="auto"/>
      </w:pPr>
      <w:r>
        <w:separator/>
      </w:r>
    </w:p>
    <w:p w14:paraId="0AE0406E" w14:textId="77777777" w:rsidR="00A23D44" w:rsidRDefault="00A23D44"/>
    <w:p w14:paraId="58146A91" w14:textId="77777777" w:rsidR="00A23D44" w:rsidRDefault="00A23D44" w:rsidP="005B52A7"/>
    <w:p w14:paraId="224915C5" w14:textId="77777777" w:rsidR="00A23D44" w:rsidRDefault="00A23D44" w:rsidP="005B52A7"/>
  </w:endnote>
  <w:endnote w:type="continuationSeparator" w:id="0">
    <w:p w14:paraId="48928B9C" w14:textId="77777777" w:rsidR="00A23D44" w:rsidRDefault="00A23D44" w:rsidP="00480DA1">
      <w:pPr>
        <w:spacing w:after="0" w:line="240" w:lineRule="auto"/>
      </w:pPr>
      <w:r>
        <w:continuationSeparator/>
      </w:r>
    </w:p>
    <w:p w14:paraId="3902AA27" w14:textId="77777777" w:rsidR="00A23D44" w:rsidRDefault="00A23D44"/>
    <w:p w14:paraId="364662C6" w14:textId="77777777" w:rsidR="00A23D44" w:rsidRDefault="00A23D44" w:rsidP="005B52A7"/>
    <w:p w14:paraId="45482025" w14:textId="77777777" w:rsidR="00A23D44" w:rsidRDefault="00A23D44" w:rsidP="005B52A7"/>
  </w:endnote>
  <w:endnote w:type="continuationNotice" w:id="1">
    <w:p w14:paraId="2F450101" w14:textId="77777777" w:rsidR="00A23D44" w:rsidRDefault="00A23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3533E14D" w14:textId="77777777" w:rsidR="009D1E99" w:rsidRDefault="009D1E99" w:rsidP="00915B8A">
        <w:pPr>
          <w:pStyle w:val="PageNumber1"/>
        </w:pPr>
      </w:p>
      <w:p w14:paraId="19E9AB69" w14:textId="1D35D4DD" w:rsidR="00E07B85" w:rsidRPr="00D31BB7" w:rsidRDefault="00000000" w:rsidP="00915B8A">
        <w:pPr>
          <w:pStyle w:val="PageNumber1"/>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9173" w14:textId="77777777" w:rsidR="00A23D44" w:rsidRDefault="00A23D44" w:rsidP="00915B8A">
      <w:pPr>
        <w:pStyle w:val="Footer"/>
      </w:pPr>
      <w:r w:rsidRPr="00F31327">
        <w:separator/>
      </w:r>
    </w:p>
    <w:p w14:paraId="03CFA8EC" w14:textId="77777777" w:rsidR="00A23D44" w:rsidRPr="00F31327" w:rsidRDefault="00A23D44" w:rsidP="00915B8A">
      <w:pPr>
        <w:pStyle w:val="Footer"/>
      </w:pPr>
    </w:p>
  </w:footnote>
  <w:footnote w:type="continuationSeparator" w:id="0">
    <w:p w14:paraId="402D206E" w14:textId="77777777" w:rsidR="00A23D44" w:rsidRDefault="00A23D44" w:rsidP="00480DA1">
      <w:pPr>
        <w:spacing w:after="0" w:line="240" w:lineRule="auto"/>
      </w:pPr>
      <w:r>
        <w:continuationSeparator/>
      </w:r>
    </w:p>
    <w:p w14:paraId="1E420324" w14:textId="77777777" w:rsidR="00A23D44" w:rsidRDefault="00A23D44"/>
    <w:p w14:paraId="657F341F" w14:textId="77777777" w:rsidR="00A23D44" w:rsidRDefault="00A23D44" w:rsidP="005B52A7"/>
    <w:p w14:paraId="5BFF845E" w14:textId="77777777" w:rsidR="00A23D44" w:rsidRDefault="00A23D44" w:rsidP="005B52A7"/>
  </w:footnote>
  <w:footnote w:type="continuationNotice" w:id="1">
    <w:p w14:paraId="520935BE" w14:textId="77777777" w:rsidR="00A23D44" w:rsidRDefault="00A23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E1EA" w14:textId="01BCB733" w:rsidR="00103FFF" w:rsidRDefault="00103FFF" w:rsidP="00AE2BB5">
    <w:pPr>
      <w:pStyle w:val="Header"/>
      <w:tabs>
        <w:tab w:val="clear" w:pos="4513"/>
        <w:tab w:val="clear" w:pos="9026"/>
        <w:tab w:val="left" w:pos="2010"/>
      </w:tabs>
    </w:pPr>
    <w:r>
      <w:rPr>
        <w:noProof/>
      </w:rPr>
      <w:drawing>
        <wp:anchor distT="0" distB="0" distL="114300" distR="114300" simplePos="0" relativeHeight="251658240" behindDoc="1" locked="0" layoutInCell="1" allowOverlap="1" wp14:anchorId="206D964E" wp14:editId="30D18060">
          <wp:simplePos x="0" y="0"/>
          <wp:positionH relativeFrom="page">
            <wp:align>right</wp:align>
          </wp:positionH>
          <wp:positionV relativeFrom="paragraph">
            <wp:posOffset>-450215</wp:posOffset>
          </wp:positionV>
          <wp:extent cx="7553325" cy="1066804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68047"/>
                  </a:xfrm>
                  <a:prstGeom prst="rect">
                    <a:avLst/>
                  </a:prstGeom>
                </pic:spPr>
              </pic:pic>
            </a:graphicData>
          </a:graphic>
          <wp14:sizeRelH relativeFrom="margin">
            <wp14:pctWidth>0</wp14:pctWidth>
          </wp14:sizeRelH>
          <wp14:sizeRelV relativeFrom="margin">
            <wp14:pctHeight>0</wp14:pctHeight>
          </wp14:sizeRelV>
        </wp:anchor>
      </w:drawing>
    </w:r>
    <w:r w:rsidR="00AE2BB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B5DF" w14:textId="34D22076" w:rsidR="00AE2BB5" w:rsidRDefault="00AE2BB5" w:rsidP="00AE2BB5">
    <w:pPr>
      <w:pStyle w:val="Header"/>
      <w:tabs>
        <w:tab w:val="clear" w:pos="4513"/>
        <w:tab w:val="clear" w:pos="9026"/>
        <w:tab w:val="left" w:pos="2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F44"/>
    <w:multiLevelType w:val="hybridMultilevel"/>
    <w:tmpl w:val="AA12E480"/>
    <w:lvl w:ilvl="0" w:tplc="B1326ED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1A39E8"/>
    <w:multiLevelType w:val="hybridMultilevel"/>
    <w:tmpl w:val="4CC0DB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35490"/>
    <w:multiLevelType w:val="hybridMultilevel"/>
    <w:tmpl w:val="BE402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E270A9"/>
    <w:multiLevelType w:val="hybridMultilevel"/>
    <w:tmpl w:val="B6F6A5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6F811CB"/>
    <w:multiLevelType w:val="hybridMultilevel"/>
    <w:tmpl w:val="7A3CC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87183"/>
    <w:multiLevelType w:val="hybridMultilevel"/>
    <w:tmpl w:val="119CD4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34842"/>
    <w:multiLevelType w:val="hybridMultilevel"/>
    <w:tmpl w:val="7736D82E"/>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3D054F"/>
    <w:multiLevelType w:val="hybridMultilevel"/>
    <w:tmpl w:val="5D4ED33E"/>
    <w:lvl w:ilvl="0" w:tplc="70AE1E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867872"/>
    <w:multiLevelType w:val="hybridMultilevel"/>
    <w:tmpl w:val="F7728B70"/>
    <w:lvl w:ilvl="0" w:tplc="BD1EB2B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C5C0E"/>
    <w:multiLevelType w:val="hybridMultilevel"/>
    <w:tmpl w:val="42CE5C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61D30"/>
    <w:multiLevelType w:val="hybridMultilevel"/>
    <w:tmpl w:val="CE82D6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pStyle w:val="BodyTex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E0153"/>
    <w:multiLevelType w:val="hybridMultilevel"/>
    <w:tmpl w:val="52C4A0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2083405"/>
    <w:multiLevelType w:val="hybridMultilevel"/>
    <w:tmpl w:val="8D3C99FA"/>
    <w:lvl w:ilvl="0" w:tplc="9328E2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E2F11"/>
    <w:multiLevelType w:val="hybridMultilevel"/>
    <w:tmpl w:val="74BE10DA"/>
    <w:lvl w:ilvl="0" w:tplc="FF167D3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726301"/>
    <w:multiLevelType w:val="hybridMultilevel"/>
    <w:tmpl w:val="CA6AF3E4"/>
    <w:lvl w:ilvl="0" w:tplc="299CBC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620CD"/>
    <w:multiLevelType w:val="hybridMultilevel"/>
    <w:tmpl w:val="175468C0"/>
    <w:lvl w:ilvl="0" w:tplc="3158435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40755B"/>
    <w:multiLevelType w:val="hybridMultilevel"/>
    <w:tmpl w:val="CB227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AC07C3"/>
    <w:multiLevelType w:val="hybridMultilevel"/>
    <w:tmpl w:val="6AEC66C8"/>
    <w:lvl w:ilvl="0" w:tplc="78D60DC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50C84"/>
    <w:multiLevelType w:val="hybridMultilevel"/>
    <w:tmpl w:val="92ECD93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8B0254"/>
    <w:multiLevelType w:val="hybridMultilevel"/>
    <w:tmpl w:val="209C8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147AA5"/>
    <w:multiLevelType w:val="hybridMultilevel"/>
    <w:tmpl w:val="0130C7B8"/>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1E2C45"/>
    <w:multiLevelType w:val="hybridMultilevel"/>
    <w:tmpl w:val="892CF772"/>
    <w:lvl w:ilvl="0" w:tplc="50D09C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F610FC"/>
    <w:multiLevelType w:val="hybridMultilevel"/>
    <w:tmpl w:val="88A6C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5C7760"/>
    <w:multiLevelType w:val="hybridMultilevel"/>
    <w:tmpl w:val="FA30C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711E7"/>
    <w:multiLevelType w:val="hybridMultilevel"/>
    <w:tmpl w:val="8EBE95E6"/>
    <w:lvl w:ilvl="0" w:tplc="42E22F66">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7E54D5"/>
    <w:multiLevelType w:val="hybridMultilevel"/>
    <w:tmpl w:val="D9040852"/>
    <w:lvl w:ilvl="0" w:tplc="BBF66CE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E66CB9"/>
    <w:multiLevelType w:val="hybridMultilevel"/>
    <w:tmpl w:val="F1DE893E"/>
    <w:lvl w:ilvl="0" w:tplc="B2F0134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E5851"/>
    <w:multiLevelType w:val="hybridMultilevel"/>
    <w:tmpl w:val="3300052E"/>
    <w:lvl w:ilvl="0" w:tplc="15940FA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A4719"/>
    <w:multiLevelType w:val="hybridMultilevel"/>
    <w:tmpl w:val="91A4E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C35FDB"/>
    <w:multiLevelType w:val="hybridMultilevel"/>
    <w:tmpl w:val="CE7E30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61524B"/>
    <w:multiLevelType w:val="hybridMultilevel"/>
    <w:tmpl w:val="361E8D34"/>
    <w:lvl w:ilvl="0" w:tplc="7D442A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F64DB"/>
    <w:multiLevelType w:val="hybridMultilevel"/>
    <w:tmpl w:val="CCDEE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D765F3"/>
    <w:multiLevelType w:val="hybridMultilevel"/>
    <w:tmpl w:val="19A08E2C"/>
    <w:lvl w:ilvl="0" w:tplc="B76C23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B02518"/>
    <w:multiLevelType w:val="hybridMultilevel"/>
    <w:tmpl w:val="5A107BDC"/>
    <w:lvl w:ilvl="0" w:tplc="08090001">
      <w:start w:val="1"/>
      <w:numFmt w:val="bullet"/>
      <w:lvlText w:val=""/>
      <w:lvlJc w:val="left"/>
      <w:pPr>
        <w:ind w:left="360" w:hanging="360"/>
      </w:pPr>
      <w:rPr>
        <w:rFonts w:ascii="Symbol" w:hAnsi="Symbol" w:hint="default"/>
      </w:rPr>
    </w:lvl>
    <w:lvl w:ilvl="1" w:tplc="4ADA1E7E">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6D04F29"/>
    <w:multiLevelType w:val="hybridMultilevel"/>
    <w:tmpl w:val="756C346E"/>
    <w:lvl w:ilvl="0" w:tplc="315843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C79E2"/>
    <w:multiLevelType w:val="hybridMultilevel"/>
    <w:tmpl w:val="D4821DD0"/>
    <w:lvl w:ilvl="0" w:tplc="3022EB9C">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1087E"/>
    <w:multiLevelType w:val="multilevel"/>
    <w:tmpl w:val="00147D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cs="Arial" w:hint="default"/>
        <w:b/>
        <w:sz w:val="24"/>
        <w:szCs w:val="24"/>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8426D"/>
    <w:multiLevelType w:val="hybridMultilevel"/>
    <w:tmpl w:val="BC208F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2A343A"/>
    <w:multiLevelType w:val="hybridMultilevel"/>
    <w:tmpl w:val="DCC63C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6341492">
    <w:abstractNumId w:val="34"/>
  </w:num>
  <w:num w:numId="2" w16cid:durableId="1824003473">
    <w:abstractNumId w:val="21"/>
  </w:num>
  <w:num w:numId="3" w16cid:durableId="1331325518">
    <w:abstractNumId w:val="40"/>
  </w:num>
  <w:num w:numId="4" w16cid:durableId="159587701">
    <w:abstractNumId w:val="10"/>
  </w:num>
  <w:num w:numId="5" w16cid:durableId="1556283647">
    <w:abstractNumId w:val="3"/>
  </w:num>
  <w:num w:numId="6" w16cid:durableId="217598734">
    <w:abstractNumId w:val="25"/>
  </w:num>
  <w:num w:numId="7" w16cid:durableId="678852009">
    <w:abstractNumId w:val="16"/>
  </w:num>
  <w:num w:numId="8" w16cid:durableId="837036868">
    <w:abstractNumId w:val="8"/>
  </w:num>
  <w:num w:numId="9" w16cid:durableId="642007557">
    <w:abstractNumId w:val="4"/>
  </w:num>
  <w:num w:numId="10" w16cid:durableId="2033529860">
    <w:abstractNumId w:val="22"/>
  </w:num>
  <w:num w:numId="11" w16cid:durableId="155000930">
    <w:abstractNumId w:val="39"/>
  </w:num>
  <w:num w:numId="12" w16cid:durableId="1324164748">
    <w:abstractNumId w:val="18"/>
  </w:num>
  <w:num w:numId="13" w16cid:durableId="1871608269">
    <w:abstractNumId w:val="13"/>
  </w:num>
  <w:num w:numId="14" w16cid:durableId="1927152095">
    <w:abstractNumId w:val="29"/>
  </w:num>
  <w:num w:numId="15" w16cid:durableId="27221027">
    <w:abstractNumId w:val="26"/>
  </w:num>
  <w:num w:numId="16" w16cid:durableId="1760562309">
    <w:abstractNumId w:val="24"/>
  </w:num>
  <w:num w:numId="17" w16cid:durableId="1790274613">
    <w:abstractNumId w:val="2"/>
  </w:num>
  <w:num w:numId="18" w16cid:durableId="1885215245">
    <w:abstractNumId w:val="9"/>
  </w:num>
  <w:num w:numId="19" w16cid:durableId="638000176">
    <w:abstractNumId w:val="19"/>
  </w:num>
  <w:num w:numId="20" w16cid:durableId="488132665">
    <w:abstractNumId w:val="20"/>
  </w:num>
  <w:num w:numId="21" w16cid:durableId="1503862068">
    <w:abstractNumId w:val="35"/>
  </w:num>
  <w:num w:numId="22" w16cid:durableId="176694377">
    <w:abstractNumId w:val="27"/>
  </w:num>
  <w:num w:numId="23" w16cid:durableId="62876906">
    <w:abstractNumId w:val="33"/>
  </w:num>
  <w:num w:numId="24" w16cid:durableId="400248513">
    <w:abstractNumId w:val="11"/>
  </w:num>
  <w:num w:numId="25" w16cid:durableId="389161107">
    <w:abstractNumId w:val="7"/>
  </w:num>
  <w:num w:numId="26" w16cid:durableId="1665475078">
    <w:abstractNumId w:val="14"/>
  </w:num>
  <w:num w:numId="27" w16cid:durableId="1749959262">
    <w:abstractNumId w:val="32"/>
  </w:num>
  <w:num w:numId="28" w16cid:durableId="1186674778">
    <w:abstractNumId w:val="30"/>
  </w:num>
  <w:num w:numId="29" w16cid:durableId="249629733">
    <w:abstractNumId w:val="23"/>
  </w:num>
  <w:num w:numId="30" w16cid:durableId="340741096">
    <w:abstractNumId w:val="6"/>
  </w:num>
  <w:num w:numId="31" w16cid:durableId="976300990">
    <w:abstractNumId w:val="17"/>
  </w:num>
  <w:num w:numId="32" w16cid:durableId="1622371530">
    <w:abstractNumId w:val="12"/>
  </w:num>
  <w:num w:numId="33" w16cid:durableId="1429931180">
    <w:abstractNumId w:val="38"/>
  </w:num>
  <w:num w:numId="34" w16cid:durableId="1469473261">
    <w:abstractNumId w:val="36"/>
  </w:num>
  <w:num w:numId="35" w16cid:durableId="279187608">
    <w:abstractNumId w:val="15"/>
  </w:num>
  <w:num w:numId="36" w16cid:durableId="1328903998">
    <w:abstractNumId w:val="31"/>
  </w:num>
  <w:num w:numId="37" w16cid:durableId="1542553290">
    <w:abstractNumId w:val="0"/>
  </w:num>
  <w:num w:numId="38" w16cid:durableId="1821188691">
    <w:abstractNumId w:val="37"/>
  </w:num>
  <w:num w:numId="39" w16cid:durableId="618492578">
    <w:abstractNumId w:val="5"/>
  </w:num>
  <w:num w:numId="40" w16cid:durableId="1986470621">
    <w:abstractNumId w:val="1"/>
  </w:num>
  <w:num w:numId="41" w16cid:durableId="32763655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2B57"/>
    <w:rsid w:val="00004159"/>
    <w:rsid w:val="00005202"/>
    <w:rsid w:val="000068F8"/>
    <w:rsid w:val="00006A54"/>
    <w:rsid w:val="00006B20"/>
    <w:rsid w:val="00011815"/>
    <w:rsid w:val="000134B4"/>
    <w:rsid w:val="00014061"/>
    <w:rsid w:val="00014312"/>
    <w:rsid w:val="00014F2C"/>
    <w:rsid w:val="0001516D"/>
    <w:rsid w:val="00015A88"/>
    <w:rsid w:val="00016970"/>
    <w:rsid w:val="00021A56"/>
    <w:rsid w:val="00021BD6"/>
    <w:rsid w:val="00021FE5"/>
    <w:rsid w:val="00023130"/>
    <w:rsid w:val="000235E8"/>
    <w:rsid w:val="00023B72"/>
    <w:rsid w:val="000248AF"/>
    <w:rsid w:val="00024BA9"/>
    <w:rsid w:val="00024EDE"/>
    <w:rsid w:val="000253D9"/>
    <w:rsid w:val="0002772F"/>
    <w:rsid w:val="000308DD"/>
    <w:rsid w:val="0003119B"/>
    <w:rsid w:val="000319D2"/>
    <w:rsid w:val="000333E3"/>
    <w:rsid w:val="0003419E"/>
    <w:rsid w:val="00035876"/>
    <w:rsid w:val="00035D6E"/>
    <w:rsid w:val="00041B9D"/>
    <w:rsid w:val="000420DD"/>
    <w:rsid w:val="000426FD"/>
    <w:rsid w:val="00043BE5"/>
    <w:rsid w:val="00043EDE"/>
    <w:rsid w:val="00044B62"/>
    <w:rsid w:val="00045136"/>
    <w:rsid w:val="000455EA"/>
    <w:rsid w:val="00045AED"/>
    <w:rsid w:val="00045FB5"/>
    <w:rsid w:val="000462AC"/>
    <w:rsid w:val="00046399"/>
    <w:rsid w:val="000465F1"/>
    <w:rsid w:val="00046E0A"/>
    <w:rsid w:val="00047C11"/>
    <w:rsid w:val="00050314"/>
    <w:rsid w:val="0005584F"/>
    <w:rsid w:val="000559D5"/>
    <w:rsid w:val="00055B00"/>
    <w:rsid w:val="00055B0A"/>
    <w:rsid w:val="00056B83"/>
    <w:rsid w:val="00060120"/>
    <w:rsid w:val="00061547"/>
    <w:rsid w:val="00061A79"/>
    <w:rsid w:val="00061BEA"/>
    <w:rsid w:val="00062BDF"/>
    <w:rsid w:val="000633C5"/>
    <w:rsid w:val="00063E35"/>
    <w:rsid w:val="00065525"/>
    <w:rsid w:val="00065D61"/>
    <w:rsid w:val="00072749"/>
    <w:rsid w:val="000757BF"/>
    <w:rsid w:val="00075949"/>
    <w:rsid w:val="00080AE6"/>
    <w:rsid w:val="000813E3"/>
    <w:rsid w:val="00081F54"/>
    <w:rsid w:val="0008250C"/>
    <w:rsid w:val="000829B0"/>
    <w:rsid w:val="00082F1D"/>
    <w:rsid w:val="00083193"/>
    <w:rsid w:val="000831AA"/>
    <w:rsid w:val="00085A45"/>
    <w:rsid w:val="000870DC"/>
    <w:rsid w:val="00087A00"/>
    <w:rsid w:val="0009025F"/>
    <w:rsid w:val="000907E2"/>
    <w:rsid w:val="0009143E"/>
    <w:rsid w:val="0009237A"/>
    <w:rsid w:val="00092C7E"/>
    <w:rsid w:val="0009369B"/>
    <w:rsid w:val="00093FAB"/>
    <w:rsid w:val="000945AE"/>
    <w:rsid w:val="00095C4C"/>
    <w:rsid w:val="000978C4"/>
    <w:rsid w:val="00097DA4"/>
    <w:rsid w:val="000A1BD8"/>
    <w:rsid w:val="000A20BB"/>
    <w:rsid w:val="000A2282"/>
    <w:rsid w:val="000A37B5"/>
    <w:rsid w:val="000A5A3C"/>
    <w:rsid w:val="000A6517"/>
    <w:rsid w:val="000B079A"/>
    <w:rsid w:val="000B09CA"/>
    <w:rsid w:val="000B0A99"/>
    <w:rsid w:val="000B1F32"/>
    <w:rsid w:val="000B39E1"/>
    <w:rsid w:val="000B5E35"/>
    <w:rsid w:val="000B6873"/>
    <w:rsid w:val="000B74C5"/>
    <w:rsid w:val="000B7772"/>
    <w:rsid w:val="000C1DB4"/>
    <w:rsid w:val="000C3022"/>
    <w:rsid w:val="000C37CE"/>
    <w:rsid w:val="000C4242"/>
    <w:rsid w:val="000C4287"/>
    <w:rsid w:val="000C540B"/>
    <w:rsid w:val="000C5B81"/>
    <w:rsid w:val="000C722B"/>
    <w:rsid w:val="000C7634"/>
    <w:rsid w:val="000C7CCA"/>
    <w:rsid w:val="000D14A1"/>
    <w:rsid w:val="000D24C0"/>
    <w:rsid w:val="000D2A9B"/>
    <w:rsid w:val="000D4306"/>
    <w:rsid w:val="000D4FFA"/>
    <w:rsid w:val="000D6055"/>
    <w:rsid w:val="000D658D"/>
    <w:rsid w:val="000E008A"/>
    <w:rsid w:val="000E0B8B"/>
    <w:rsid w:val="000E0CFE"/>
    <w:rsid w:val="000E1983"/>
    <w:rsid w:val="000E1BF3"/>
    <w:rsid w:val="000E1CBB"/>
    <w:rsid w:val="000E40DB"/>
    <w:rsid w:val="000E42B8"/>
    <w:rsid w:val="000E66B4"/>
    <w:rsid w:val="000E7204"/>
    <w:rsid w:val="000F232D"/>
    <w:rsid w:val="000F2F20"/>
    <w:rsid w:val="000F3217"/>
    <w:rsid w:val="000F3782"/>
    <w:rsid w:val="000F3799"/>
    <w:rsid w:val="000F44DB"/>
    <w:rsid w:val="000F47C5"/>
    <w:rsid w:val="000F5347"/>
    <w:rsid w:val="000F63F6"/>
    <w:rsid w:val="000F75D7"/>
    <w:rsid w:val="000F7877"/>
    <w:rsid w:val="001004EA"/>
    <w:rsid w:val="001008D5"/>
    <w:rsid w:val="00101008"/>
    <w:rsid w:val="00103882"/>
    <w:rsid w:val="00103FFF"/>
    <w:rsid w:val="001059C1"/>
    <w:rsid w:val="00106896"/>
    <w:rsid w:val="0011071D"/>
    <w:rsid w:val="0011280F"/>
    <w:rsid w:val="001134F5"/>
    <w:rsid w:val="00114089"/>
    <w:rsid w:val="0011469B"/>
    <w:rsid w:val="00114771"/>
    <w:rsid w:val="00114902"/>
    <w:rsid w:val="00114E2D"/>
    <w:rsid w:val="00116603"/>
    <w:rsid w:val="0012069B"/>
    <w:rsid w:val="0012079F"/>
    <w:rsid w:val="001227F6"/>
    <w:rsid w:val="0012366C"/>
    <w:rsid w:val="00123F16"/>
    <w:rsid w:val="00124FCD"/>
    <w:rsid w:val="00126A46"/>
    <w:rsid w:val="001309A8"/>
    <w:rsid w:val="00130FD9"/>
    <w:rsid w:val="001313B5"/>
    <w:rsid w:val="00131748"/>
    <w:rsid w:val="00131BEC"/>
    <w:rsid w:val="00131EE6"/>
    <w:rsid w:val="001321F8"/>
    <w:rsid w:val="00132E95"/>
    <w:rsid w:val="00133D34"/>
    <w:rsid w:val="001368BD"/>
    <w:rsid w:val="001378F7"/>
    <w:rsid w:val="00140536"/>
    <w:rsid w:val="0014065F"/>
    <w:rsid w:val="00141583"/>
    <w:rsid w:val="00142694"/>
    <w:rsid w:val="00143299"/>
    <w:rsid w:val="00143CA4"/>
    <w:rsid w:val="00144744"/>
    <w:rsid w:val="00144A6B"/>
    <w:rsid w:val="00146066"/>
    <w:rsid w:val="00146982"/>
    <w:rsid w:val="00147017"/>
    <w:rsid w:val="001470DF"/>
    <w:rsid w:val="00147A77"/>
    <w:rsid w:val="00150C91"/>
    <w:rsid w:val="00151332"/>
    <w:rsid w:val="0015164E"/>
    <w:rsid w:val="00152041"/>
    <w:rsid w:val="001522A2"/>
    <w:rsid w:val="001523FB"/>
    <w:rsid w:val="00152821"/>
    <w:rsid w:val="001539A4"/>
    <w:rsid w:val="001547C9"/>
    <w:rsid w:val="001551C7"/>
    <w:rsid w:val="0015657D"/>
    <w:rsid w:val="0015660E"/>
    <w:rsid w:val="00157793"/>
    <w:rsid w:val="00160C9E"/>
    <w:rsid w:val="00160E34"/>
    <w:rsid w:val="00161750"/>
    <w:rsid w:val="00163052"/>
    <w:rsid w:val="00163852"/>
    <w:rsid w:val="00170443"/>
    <w:rsid w:val="0017206E"/>
    <w:rsid w:val="00172B29"/>
    <w:rsid w:val="00175530"/>
    <w:rsid w:val="001761B3"/>
    <w:rsid w:val="00176745"/>
    <w:rsid w:val="00177272"/>
    <w:rsid w:val="00180658"/>
    <w:rsid w:val="00180DC2"/>
    <w:rsid w:val="001817C4"/>
    <w:rsid w:val="00182804"/>
    <w:rsid w:val="00183976"/>
    <w:rsid w:val="00183D40"/>
    <w:rsid w:val="001841DC"/>
    <w:rsid w:val="00191406"/>
    <w:rsid w:val="001924EE"/>
    <w:rsid w:val="00193389"/>
    <w:rsid w:val="00197A75"/>
    <w:rsid w:val="001A03AA"/>
    <w:rsid w:val="001A1974"/>
    <w:rsid w:val="001A35A3"/>
    <w:rsid w:val="001A40BE"/>
    <w:rsid w:val="001B0070"/>
    <w:rsid w:val="001B0184"/>
    <w:rsid w:val="001B0446"/>
    <w:rsid w:val="001B2239"/>
    <w:rsid w:val="001B23F6"/>
    <w:rsid w:val="001B2D26"/>
    <w:rsid w:val="001B2DAF"/>
    <w:rsid w:val="001B3698"/>
    <w:rsid w:val="001B3BC3"/>
    <w:rsid w:val="001B3DD6"/>
    <w:rsid w:val="001B6142"/>
    <w:rsid w:val="001B7923"/>
    <w:rsid w:val="001C148E"/>
    <w:rsid w:val="001C1B98"/>
    <w:rsid w:val="001C2A57"/>
    <w:rsid w:val="001C37AE"/>
    <w:rsid w:val="001C4621"/>
    <w:rsid w:val="001C52FC"/>
    <w:rsid w:val="001C545D"/>
    <w:rsid w:val="001C55A1"/>
    <w:rsid w:val="001C6D7E"/>
    <w:rsid w:val="001C6FDE"/>
    <w:rsid w:val="001C705A"/>
    <w:rsid w:val="001C79E8"/>
    <w:rsid w:val="001D3831"/>
    <w:rsid w:val="001D5E07"/>
    <w:rsid w:val="001D6B3C"/>
    <w:rsid w:val="001D7571"/>
    <w:rsid w:val="001D7B25"/>
    <w:rsid w:val="001D7B5D"/>
    <w:rsid w:val="001E02B6"/>
    <w:rsid w:val="001E1066"/>
    <w:rsid w:val="001E3027"/>
    <w:rsid w:val="001E30A4"/>
    <w:rsid w:val="001E3776"/>
    <w:rsid w:val="001E4917"/>
    <w:rsid w:val="001E5D00"/>
    <w:rsid w:val="001F07CF"/>
    <w:rsid w:val="001F114A"/>
    <w:rsid w:val="001F1A8C"/>
    <w:rsid w:val="001F28D6"/>
    <w:rsid w:val="001F386C"/>
    <w:rsid w:val="001F472D"/>
    <w:rsid w:val="001F5102"/>
    <w:rsid w:val="001F5567"/>
    <w:rsid w:val="001F6BB9"/>
    <w:rsid w:val="001F7F4D"/>
    <w:rsid w:val="0020195B"/>
    <w:rsid w:val="00201BC5"/>
    <w:rsid w:val="00202397"/>
    <w:rsid w:val="0020303B"/>
    <w:rsid w:val="0020346E"/>
    <w:rsid w:val="0020360D"/>
    <w:rsid w:val="002042B2"/>
    <w:rsid w:val="002059EF"/>
    <w:rsid w:val="00206A02"/>
    <w:rsid w:val="0020768D"/>
    <w:rsid w:val="00207CF9"/>
    <w:rsid w:val="0021082E"/>
    <w:rsid w:val="00211A29"/>
    <w:rsid w:val="0021274A"/>
    <w:rsid w:val="0021368A"/>
    <w:rsid w:val="0021433B"/>
    <w:rsid w:val="00215C7F"/>
    <w:rsid w:val="00216606"/>
    <w:rsid w:val="00216AF6"/>
    <w:rsid w:val="00217280"/>
    <w:rsid w:val="00220049"/>
    <w:rsid w:val="00220123"/>
    <w:rsid w:val="00220DC9"/>
    <w:rsid w:val="00222526"/>
    <w:rsid w:val="00222890"/>
    <w:rsid w:val="00222976"/>
    <w:rsid w:val="00222C5C"/>
    <w:rsid w:val="00226F4D"/>
    <w:rsid w:val="00227984"/>
    <w:rsid w:val="00227D3D"/>
    <w:rsid w:val="00232A3B"/>
    <w:rsid w:val="0023359F"/>
    <w:rsid w:val="00233C73"/>
    <w:rsid w:val="002369A7"/>
    <w:rsid w:val="00236B4F"/>
    <w:rsid w:val="00241512"/>
    <w:rsid w:val="00242863"/>
    <w:rsid w:val="00242D9B"/>
    <w:rsid w:val="00243886"/>
    <w:rsid w:val="00243D46"/>
    <w:rsid w:val="00244D48"/>
    <w:rsid w:val="0024513D"/>
    <w:rsid w:val="00247752"/>
    <w:rsid w:val="00247780"/>
    <w:rsid w:val="00250213"/>
    <w:rsid w:val="0025053F"/>
    <w:rsid w:val="00251117"/>
    <w:rsid w:val="00251844"/>
    <w:rsid w:val="00252CF7"/>
    <w:rsid w:val="002537FD"/>
    <w:rsid w:val="00253B82"/>
    <w:rsid w:val="00254D47"/>
    <w:rsid w:val="002569E9"/>
    <w:rsid w:val="00256E2A"/>
    <w:rsid w:val="00256F4A"/>
    <w:rsid w:val="00261533"/>
    <w:rsid w:val="0026228F"/>
    <w:rsid w:val="00262720"/>
    <w:rsid w:val="002634C4"/>
    <w:rsid w:val="0026578D"/>
    <w:rsid w:val="002669B2"/>
    <w:rsid w:val="002700EA"/>
    <w:rsid w:val="002707E4"/>
    <w:rsid w:val="002721B4"/>
    <w:rsid w:val="00272626"/>
    <w:rsid w:val="00274688"/>
    <w:rsid w:val="00275238"/>
    <w:rsid w:val="00275E4A"/>
    <w:rsid w:val="0028047A"/>
    <w:rsid w:val="00282CF0"/>
    <w:rsid w:val="00285F26"/>
    <w:rsid w:val="002878A0"/>
    <w:rsid w:val="002915DD"/>
    <w:rsid w:val="0029257F"/>
    <w:rsid w:val="002926CA"/>
    <w:rsid w:val="002927E1"/>
    <w:rsid w:val="00293488"/>
    <w:rsid w:val="00293B81"/>
    <w:rsid w:val="00293E7C"/>
    <w:rsid w:val="002951FB"/>
    <w:rsid w:val="002A00DA"/>
    <w:rsid w:val="002A0B57"/>
    <w:rsid w:val="002A1BE5"/>
    <w:rsid w:val="002A2651"/>
    <w:rsid w:val="002A34BE"/>
    <w:rsid w:val="002A479C"/>
    <w:rsid w:val="002A66CB"/>
    <w:rsid w:val="002A7D18"/>
    <w:rsid w:val="002B07E0"/>
    <w:rsid w:val="002B0EA4"/>
    <w:rsid w:val="002B1553"/>
    <w:rsid w:val="002B15BF"/>
    <w:rsid w:val="002B3DB1"/>
    <w:rsid w:val="002B4656"/>
    <w:rsid w:val="002B5451"/>
    <w:rsid w:val="002B6C55"/>
    <w:rsid w:val="002B6C89"/>
    <w:rsid w:val="002B76F9"/>
    <w:rsid w:val="002C1EFA"/>
    <w:rsid w:val="002C2478"/>
    <w:rsid w:val="002C2606"/>
    <w:rsid w:val="002C2B86"/>
    <w:rsid w:val="002C3429"/>
    <w:rsid w:val="002C3A5D"/>
    <w:rsid w:val="002C4671"/>
    <w:rsid w:val="002C5A2A"/>
    <w:rsid w:val="002C692C"/>
    <w:rsid w:val="002C772D"/>
    <w:rsid w:val="002C7F79"/>
    <w:rsid w:val="002D0A01"/>
    <w:rsid w:val="002D0CE3"/>
    <w:rsid w:val="002D106B"/>
    <w:rsid w:val="002D11F7"/>
    <w:rsid w:val="002D17AD"/>
    <w:rsid w:val="002D4ACE"/>
    <w:rsid w:val="002D5875"/>
    <w:rsid w:val="002D6B3D"/>
    <w:rsid w:val="002D7E3A"/>
    <w:rsid w:val="002E1E90"/>
    <w:rsid w:val="002E262A"/>
    <w:rsid w:val="002E27DC"/>
    <w:rsid w:val="002E3134"/>
    <w:rsid w:val="002E3E1D"/>
    <w:rsid w:val="002E4E87"/>
    <w:rsid w:val="002E5C41"/>
    <w:rsid w:val="002E61B2"/>
    <w:rsid w:val="002E6B11"/>
    <w:rsid w:val="002E76B6"/>
    <w:rsid w:val="002E78B0"/>
    <w:rsid w:val="002F01B6"/>
    <w:rsid w:val="002F0319"/>
    <w:rsid w:val="002F1882"/>
    <w:rsid w:val="002F1CBD"/>
    <w:rsid w:val="002F2A55"/>
    <w:rsid w:val="002F36B1"/>
    <w:rsid w:val="002F410F"/>
    <w:rsid w:val="002F4B2E"/>
    <w:rsid w:val="002F5AF7"/>
    <w:rsid w:val="002F5F8F"/>
    <w:rsid w:val="002F6BD9"/>
    <w:rsid w:val="002F6D57"/>
    <w:rsid w:val="00301805"/>
    <w:rsid w:val="00301B03"/>
    <w:rsid w:val="00303C0C"/>
    <w:rsid w:val="00304223"/>
    <w:rsid w:val="00305157"/>
    <w:rsid w:val="0030629D"/>
    <w:rsid w:val="003072BC"/>
    <w:rsid w:val="00307CB0"/>
    <w:rsid w:val="00307E88"/>
    <w:rsid w:val="00311413"/>
    <w:rsid w:val="00311B1F"/>
    <w:rsid w:val="003122E9"/>
    <w:rsid w:val="00312841"/>
    <w:rsid w:val="003130DA"/>
    <w:rsid w:val="00313A46"/>
    <w:rsid w:val="00313CDF"/>
    <w:rsid w:val="00313D0F"/>
    <w:rsid w:val="00314AFD"/>
    <w:rsid w:val="00314EA7"/>
    <w:rsid w:val="00315016"/>
    <w:rsid w:val="0031652E"/>
    <w:rsid w:val="003172E5"/>
    <w:rsid w:val="00317891"/>
    <w:rsid w:val="00320231"/>
    <w:rsid w:val="003224F3"/>
    <w:rsid w:val="00323E45"/>
    <w:rsid w:val="00324AAE"/>
    <w:rsid w:val="0032533E"/>
    <w:rsid w:val="00325564"/>
    <w:rsid w:val="00326177"/>
    <w:rsid w:val="00326F83"/>
    <w:rsid w:val="00327A56"/>
    <w:rsid w:val="00330547"/>
    <w:rsid w:val="00330550"/>
    <w:rsid w:val="00330745"/>
    <w:rsid w:val="00330C76"/>
    <w:rsid w:val="003318B8"/>
    <w:rsid w:val="003322FC"/>
    <w:rsid w:val="00332486"/>
    <w:rsid w:val="00333B76"/>
    <w:rsid w:val="003403D6"/>
    <w:rsid w:val="003405BA"/>
    <w:rsid w:val="00340B4A"/>
    <w:rsid w:val="00340E9E"/>
    <w:rsid w:val="003412DB"/>
    <w:rsid w:val="00341444"/>
    <w:rsid w:val="00341579"/>
    <w:rsid w:val="0034275A"/>
    <w:rsid w:val="00343A0C"/>
    <w:rsid w:val="003501DF"/>
    <w:rsid w:val="003513A7"/>
    <w:rsid w:val="00351B6E"/>
    <w:rsid w:val="00357136"/>
    <w:rsid w:val="00360C96"/>
    <w:rsid w:val="0036147F"/>
    <w:rsid w:val="00361947"/>
    <w:rsid w:val="00363301"/>
    <w:rsid w:val="0036370A"/>
    <w:rsid w:val="00363F2A"/>
    <w:rsid w:val="003649B5"/>
    <w:rsid w:val="0036541D"/>
    <w:rsid w:val="00365609"/>
    <w:rsid w:val="003661C4"/>
    <w:rsid w:val="00367F98"/>
    <w:rsid w:val="003708C5"/>
    <w:rsid w:val="00373750"/>
    <w:rsid w:val="00375085"/>
    <w:rsid w:val="0037519E"/>
    <w:rsid w:val="00375B1C"/>
    <w:rsid w:val="003764D5"/>
    <w:rsid w:val="003769E1"/>
    <w:rsid w:val="00376A86"/>
    <w:rsid w:val="00376CBD"/>
    <w:rsid w:val="00377D60"/>
    <w:rsid w:val="00381AA5"/>
    <w:rsid w:val="00382641"/>
    <w:rsid w:val="00385B8B"/>
    <w:rsid w:val="00386B21"/>
    <w:rsid w:val="00387A37"/>
    <w:rsid w:val="00390E97"/>
    <w:rsid w:val="00391663"/>
    <w:rsid w:val="003921F1"/>
    <w:rsid w:val="003927B0"/>
    <w:rsid w:val="003932CE"/>
    <w:rsid w:val="00393324"/>
    <w:rsid w:val="0039365C"/>
    <w:rsid w:val="00393A60"/>
    <w:rsid w:val="003952B6"/>
    <w:rsid w:val="00395BB9"/>
    <w:rsid w:val="00395C84"/>
    <w:rsid w:val="003965BE"/>
    <w:rsid w:val="00396AD8"/>
    <w:rsid w:val="003A0F12"/>
    <w:rsid w:val="003A1071"/>
    <w:rsid w:val="003A485B"/>
    <w:rsid w:val="003A5163"/>
    <w:rsid w:val="003A567F"/>
    <w:rsid w:val="003A6A3C"/>
    <w:rsid w:val="003A6D18"/>
    <w:rsid w:val="003A7606"/>
    <w:rsid w:val="003B009E"/>
    <w:rsid w:val="003B0E7C"/>
    <w:rsid w:val="003B1470"/>
    <w:rsid w:val="003B16D5"/>
    <w:rsid w:val="003B1D34"/>
    <w:rsid w:val="003B1F29"/>
    <w:rsid w:val="003B3977"/>
    <w:rsid w:val="003B5428"/>
    <w:rsid w:val="003B55AF"/>
    <w:rsid w:val="003B55EE"/>
    <w:rsid w:val="003B56EA"/>
    <w:rsid w:val="003C06A6"/>
    <w:rsid w:val="003C0EF4"/>
    <w:rsid w:val="003C0FDA"/>
    <w:rsid w:val="003C2BD4"/>
    <w:rsid w:val="003C66F5"/>
    <w:rsid w:val="003C771C"/>
    <w:rsid w:val="003C7856"/>
    <w:rsid w:val="003D0DC8"/>
    <w:rsid w:val="003D0FCC"/>
    <w:rsid w:val="003D176B"/>
    <w:rsid w:val="003D1F0C"/>
    <w:rsid w:val="003D4685"/>
    <w:rsid w:val="003D4853"/>
    <w:rsid w:val="003D71CA"/>
    <w:rsid w:val="003E105C"/>
    <w:rsid w:val="003E1953"/>
    <w:rsid w:val="003E2101"/>
    <w:rsid w:val="003E3650"/>
    <w:rsid w:val="003E3DAC"/>
    <w:rsid w:val="003E56DF"/>
    <w:rsid w:val="003E5905"/>
    <w:rsid w:val="003F02FE"/>
    <w:rsid w:val="003F06E3"/>
    <w:rsid w:val="003F1011"/>
    <w:rsid w:val="003F1206"/>
    <w:rsid w:val="003F223B"/>
    <w:rsid w:val="003F29C7"/>
    <w:rsid w:val="003F2AA1"/>
    <w:rsid w:val="003F2B13"/>
    <w:rsid w:val="003F3FFA"/>
    <w:rsid w:val="003F5EBE"/>
    <w:rsid w:val="003F7C93"/>
    <w:rsid w:val="0040067D"/>
    <w:rsid w:val="00403D03"/>
    <w:rsid w:val="0040584A"/>
    <w:rsid w:val="00407077"/>
    <w:rsid w:val="00412796"/>
    <w:rsid w:val="00413E78"/>
    <w:rsid w:val="00413F6D"/>
    <w:rsid w:val="00414F30"/>
    <w:rsid w:val="00415AEC"/>
    <w:rsid w:val="00416059"/>
    <w:rsid w:val="004163FF"/>
    <w:rsid w:val="004168CA"/>
    <w:rsid w:val="00420E25"/>
    <w:rsid w:val="00421BD2"/>
    <w:rsid w:val="00421C00"/>
    <w:rsid w:val="00423D11"/>
    <w:rsid w:val="004251F1"/>
    <w:rsid w:val="00425704"/>
    <w:rsid w:val="004275E2"/>
    <w:rsid w:val="004276F9"/>
    <w:rsid w:val="00431C10"/>
    <w:rsid w:val="004330DB"/>
    <w:rsid w:val="004332DE"/>
    <w:rsid w:val="004347B0"/>
    <w:rsid w:val="00434BFF"/>
    <w:rsid w:val="004360EC"/>
    <w:rsid w:val="00436503"/>
    <w:rsid w:val="004403BF"/>
    <w:rsid w:val="0044150B"/>
    <w:rsid w:val="00442032"/>
    <w:rsid w:val="004422FE"/>
    <w:rsid w:val="00442F27"/>
    <w:rsid w:val="004436DA"/>
    <w:rsid w:val="00445DE9"/>
    <w:rsid w:val="00446458"/>
    <w:rsid w:val="004478C0"/>
    <w:rsid w:val="004506DE"/>
    <w:rsid w:val="004513DC"/>
    <w:rsid w:val="00451686"/>
    <w:rsid w:val="004519A2"/>
    <w:rsid w:val="00452F66"/>
    <w:rsid w:val="004571B5"/>
    <w:rsid w:val="004605CB"/>
    <w:rsid w:val="00460C1B"/>
    <w:rsid w:val="0046117F"/>
    <w:rsid w:val="00461EB6"/>
    <w:rsid w:val="00462102"/>
    <w:rsid w:val="004622FE"/>
    <w:rsid w:val="004637A3"/>
    <w:rsid w:val="00463EE9"/>
    <w:rsid w:val="0046554E"/>
    <w:rsid w:val="0046578A"/>
    <w:rsid w:val="00470A71"/>
    <w:rsid w:val="00470C1F"/>
    <w:rsid w:val="0047172E"/>
    <w:rsid w:val="00472112"/>
    <w:rsid w:val="0047374D"/>
    <w:rsid w:val="00480C08"/>
    <w:rsid w:val="00480DA1"/>
    <w:rsid w:val="00481274"/>
    <w:rsid w:val="004813E6"/>
    <w:rsid w:val="004870F6"/>
    <w:rsid w:val="00490622"/>
    <w:rsid w:val="00491065"/>
    <w:rsid w:val="00491B7F"/>
    <w:rsid w:val="004923A0"/>
    <w:rsid w:val="00493229"/>
    <w:rsid w:val="00493490"/>
    <w:rsid w:val="0049372A"/>
    <w:rsid w:val="00493D86"/>
    <w:rsid w:val="00495CF3"/>
    <w:rsid w:val="00495D07"/>
    <w:rsid w:val="004979A7"/>
    <w:rsid w:val="004A0DB7"/>
    <w:rsid w:val="004A1A49"/>
    <w:rsid w:val="004A2F4B"/>
    <w:rsid w:val="004A4AE0"/>
    <w:rsid w:val="004A4E26"/>
    <w:rsid w:val="004A6170"/>
    <w:rsid w:val="004A6735"/>
    <w:rsid w:val="004B0B28"/>
    <w:rsid w:val="004B2188"/>
    <w:rsid w:val="004B2B45"/>
    <w:rsid w:val="004B3CB8"/>
    <w:rsid w:val="004B4305"/>
    <w:rsid w:val="004B475D"/>
    <w:rsid w:val="004B5AC7"/>
    <w:rsid w:val="004B66B4"/>
    <w:rsid w:val="004B69AE"/>
    <w:rsid w:val="004B7760"/>
    <w:rsid w:val="004C15AF"/>
    <w:rsid w:val="004C1CDE"/>
    <w:rsid w:val="004C4036"/>
    <w:rsid w:val="004C72EA"/>
    <w:rsid w:val="004D0467"/>
    <w:rsid w:val="004D26CC"/>
    <w:rsid w:val="004D2C3D"/>
    <w:rsid w:val="004D307B"/>
    <w:rsid w:val="004D3398"/>
    <w:rsid w:val="004D3BAD"/>
    <w:rsid w:val="004D4177"/>
    <w:rsid w:val="004D49C1"/>
    <w:rsid w:val="004D4C38"/>
    <w:rsid w:val="004D5688"/>
    <w:rsid w:val="004D62B0"/>
    <w:rsid w:val="004D6CD1"/>
    <w:rsid w:val="004D7437"/>
    <w:rsid w:val="004D770F"/>
    <w:rsid w:val="004E09CE"/>
    <w:rsid w:val="004E0E77"/>
    <w:rsid w:val="004E28E0"/>
    <w:rsid w:val="004E3119"/>
    <w:rsid w:val="004E3779"/>
    <w:rsid w:val="004E421A"/>
    <w:rsid w:val="004E4A6D"/>
    <w:rsid w:val="004E5F2E"/>
    <w:rsid w:val="004E6176"/>
    <w:rsid w:val="004E706F"/>
    <w:rsid w:val="004E71A3"/>
    <w:rsid w:val="004E7219"/>
    <w:rsid w:val="004F11E5"/>
    <w:rsid w:val="004F132E"/>
    <w:rsid w:val="004F2D0F"/>
    <w:rsid w:val="004F3D8C"/>
    <w:rsid w:val="004F479B"/>
    <w:rsid w:val="004F6415"/>
    <w:rsid w:val="004F7632"/>
    <w:rsid w:val="004F7AC2"/>
    <w:rsid w:val="00500505"/>
    <w:rsid w:val="00500754"/>
    <w:rsid w:val="00500F80"/>
    <w:rsid w:val="00501F1F"/>
    <w:rsid w:val="005024CE"/>
    <w:rsid w:val="0050273A"/>
    <w:rsid w:val="005027A4"/>
    <w:rsid w:val="00502EA1"/>
    <w:rsid w:val="005030EC"/>
    <w:rsid w:val="005037E5"/>
    <w:rsid w:val="00504735"/>
    <w:rsid w:val="00504DC9"/>
    <w:rsid w:val="00506777"/>
    <w:rsid w:val="005110F1"/>
    <w:rsid w:val="005115F3"/>
    <w:rsid w:val="00512A1E"/>
    <w:rsid w:val="00513772"/>
    <w:rsid w:val="005147CD"/>
    <w:rsid w:val="005158F1"/>
    <w:rsid w:val="00515B4E"/>
    <w:rsid w:val="0051687A"/>
    <w:rsid w:val="00517911"/>
    <w:rsid w:val="00517FD4"/>
    <w:rsid w:val="00520703"/>
    <w:rsid w:val="005213DF"/>
    <w:rsid w:val="005214EB"/>
    <w:rsid w:val="00521749"/>
    <w:rsid w:val="0052308A"/>
    <w:rsid w:val="0052343D"/>
    <w:rsid w:val="00523C45"/>
    <w:rsid w:val="00524246"/>
    <w:rsid w:val="00525C68"/>
    <w:rsid w:val="00526A55"/>
    <w:rsid w:val="005273F8"/>
    <w:rsid w:val="00527B83"/>
    <w:rsid w:val="00527D38"/>
    <w:rsid w:val="0053001B"/>
    <w:rsid w:val="005308F1"/>
    <w:rsid w:val="00531122"/>
    <w:rsid w:val="0053180B"/>
    <w:rsid w:val="0053431D"/>
    <w:rsid w:val="00534831"/>
    <w:rsid w:val="00534F67"/>
    <w:rsid w:val="005401A5"/>
    <w:rsid w:val="00540C48"/>
    <w:rsid w:val="00540E5B"/>
    <w:rsid w:val="00542734"/>
    <w:rsid w:val="00542C3D"/>
    <w:rsid w:val="005435F0"/>
    <w:rsid w:val="00543B10"/>
    <w:rsid w:val="0054509A"/>
    <w:rsid w:val="005452FA"/>
    <w:rsid w:val="005459A1"/>
    <w:rsid w:val="0054780E"/>
    <w:rsid w:val="00550449"/>
    <w:rsid w:val="005512AD"/>
    <w:rsid w:val="0055209C"/>
    <w:rsid w:val="00552CD0"/>
    <w:rsid w:val="005543CC"/>
    <w:rsid w:val="00554ECC"/>
    <w:rsid w:val="0055586F"/>
    <w:rsid w:val="00560FB1"/>
    <w:rsid w:val="00561CC5"/>
    <w:rsid w:val="005620C6"/>
    <w:rsid w:val="00562BE9"/>
    <w:rsid w:val="0056305F"/>
    <w:rsid w:val="00565101"/>
    <w:rsid w:val="005655DE"/>
    <w:rsid w:val="0056719A"/>
    <w:rsid w:val="005677DC"/>
    <w:rsid w:val="00567DDF"/>
    <w:rsid w:val="00570903"/>
    <w:rsid w:val="0057110B"/>
    <w:rsid w:val="00572C33"/>
    <w:rsid w:val="00572CEA"/>
    <w:rsid w:val="0057427A"/>
    <w:rsid w:val="005764C7"/>
    <w:rsid w:val="00576CF6"/>
    <w:rsid w:val="00576E8C"/>
    <w:rsid w:val="00577176"/>
    <w:rsid w:val="00577B82"/>
    <w:rsid w:val="005819ED"/>
    <w:rsid w:val="00581C2E"/>
    <w:rsid w:val="0058328C"/>
    <w:rsid w:val="00584EAF"/>
    <w:rsid w:val="005852C6"/>
    <w:rsid w:val="00585DB1"/>
    <w:rsid w:val="00587FE1"/>
    <w:rsid w:val="00591D49"/>
    <w:rsid w:val="005930A4"/>
    <w:rsid w:val="005931A9"/>
    <w:rsid w:val="00594178"/>
    <w:rsid w:val="00595A2B"/>
    <w:rsid w:val="00595E4B"/>
    <w:rsid w:val="00596C16"/>
    <w:rsid w:val="005A0A12"/>
    <w:rsid w:val="005A0E6A"/>
    <w:rsid w:val="005A16E3"/>
    <w:rsid w:val="005A1C47"/>
    <w:rsid w:val="005A1FB0"/>
    <w:rsid w:val="005A4041"/>
    <w:rsid w:val="005A4DFC"/>
    <w:rsid w:val="005A50D2"/>
    <w:rsid w:val="005A61BA"/>
    <w:rsid w:val="005A7638"/>
    <w:rsid w:val="005B18B7"/>
    <w:rsid w:val="005B198E"/>
    <w:rsid w:val="005B21EC"/>
    <w:rsid w:val="005B3B07"/>
    <w:rsid w:val="005B4050"/>
    <w:rsid w:val="005B4BD3"/>
    <w:rsid w:val="005B52A7"/>
    <w:rsid w:val="005B5610"/>
    <w:rsid w:val="005B5681"/>
    <w:rsid w:val="005B5E07"/>
    <w:rsid w:val="005C0883"/>
    <w:rsid w:val="005C29C8"/>
    <w:rsid w:val="005C2DA6"/>
    <w:rsid w:val="005C3CA0"/>
    <w:rsid w:val="005C5D1C"/>
    <w:rsid w:val="005C7E09"/>
    <w:rsid w:val="005C7FF6"/>
    <w:rsid w:val="005D02E5"/>
    <w:rsid w:val="005D0B14"/>
    <w:rsid w:val="005D0FBD"/>
    <w:rsid w:val="005D216D"/>
    <w:rsid w:val="005D2CEA"/>
    <w:rsid w:val="005D3DED"/>
    <w:rsid w:val="005D413D"/>
    <w:rsid w:val="005D4D7F"/>
    <w:rsid w:val="005D4F28"/>
    <w:rsid w:val="005D551B"/>
    <w:rsid w:val="005D65ED"/>
    <w:rsid w:val="005D6899"/>
    <w:rsid w:val="005D6E00"/>
    <w:rsid w:val="005E0EC9"/>
    <w:rsid w:val="005E4A9E"/>
    <w:rsid w:val="005E4E1D"/>
    <w:rsid w:val="005E7B73"/>
    <w:rsid w:val="005F1B8A"/>
    <w:rsid w:val="005F266E"/>
    <w:rsid w:val="005F2F62"/>
    <w:rsid w:val="005F5EB1"/>
    <w:rsid w:val="00602836"/>
    <w:rsid w:val="00603555"/>
    <w:rsid w:val="00603AC4"/>
    <w:rsid w:val="00606F1F"/>
    <w:rsid w:val="0060719A"/>
    <w:rsid w:val="0060771C"/>
    <w:rsid w:val="00610594"/>
    <w:rsid w:val="006105D6"/>
    <w:rsid w:val="00610819"/>
    <w:rsid w:val="00610B83"/>
    <w:rsid w:val="00610EEB"/>
    <w:rsid w:val="0061107D"/>
    <w:rsid w:val="0061152E"/>
    <w:rsid w:val="006131D4"/>
    <w:rsid w:val="0061360C"/>
    <w:rsid w:val="00614155"/>
    <w:rsid w:val="00616DA4"/>
    <w:rsid w:val="00617400"/>
    <w:rsid w:val="00617FA4"/>
    <w:rsid w:val="0062100E"/>
    <w:rsid w:val="00621212"/>
    <w:rsid w:val="00621331"/>
    <w:rsid w:val="00622546"/>
    <w:rsid w:val="00623B61"/>
    <w:rsid w:val="00624C74"/>
    <w:rsid w:val="00624EC6"/>
    <w:rsid w:val="00626C00"/>
    <w:rsid w:val="00626FED"/>
    <w:rsid w:val="00626FEE"/>
    <w:rsid w:val="00631950"/>
    <w:rsid w:val="006328BD"/>
    <w:rsid w:val="00632C05"/>
    <w:rsid w:val="00635C0F"/>
    <w:rsid w:val="006368E5"/>
    <w:rsid w:val="00640957"/>
    <w:rsid w:val="0064174F"/>
    <w:rsid w:val="00641AB7"/>
    <w:rsid w:val="0064200B"/>
    <w:rsid w:val="0064307B"/>
    <w:rsid w:val="0064313D"/>
    <w:rsid w:val="00643E69"/>
    <w:rsid w:val="006455AE"/>
    <w:rsid w:val="00647816"/>
    <w:rsid w:val="0065125B"/>
    <w:rsid w:val="0065136C"/>
    <w:rsid w:val="006513F3"/>
    <w:rsid w:val="006540FE"/>
    <w:rsid w:val="00654377"/>
    <w:rsid w:val="0065486C"/>
    <w:rsid w:val="00655BF0"/>
    <w:rsid w:val="006568BD"/>
    <w:rsid w:val="00657410"/>
    <w:rsid w:val="00660AFA"/>
    <w:rsid w:val="00661E65"/>
    <w:rsid w:val="00662819"/>
    <w:rsid w:val="0066336F"/>
    <w:rsid w:val="00663A53"/>
    <w:rsid w:val="00663E50"/>
    <w:rsid w:val="00664644"/>
    <w:rsid w:val="00665E76"/>
    <w:rsid w:val="0066686E"/>
    <w:rsid w:val="00666B4A"/>
    <w:rsid w:val="006712DC"/>
    <w:rsid w:val="006714F0"/>
    <w:rsid w:val="00672320"/>
    <w:rsid w:val="0067358F"/>
    <w:rsid w:val="00675C84"/>
    <w:rsid w:val="0068056F"/>
    <w:rsid w:val="0068148E"/>
    <w:rsid w:val="00682295"/>
    <w:rsid w:val="00682528"/>
    <w:rsid w:val="00682716"/>
    <w:rsid w:val="00683108"/>
    <w:rsid w:val="00685FFB"/>
    <w:rsid w:val="0068604E"/>
    <w:rsid w:val="0068652A"/>
    <w:rsid w:val="006869CF"/>
    <w:rsid w:val="006877E6"/>
    <w:rsid w:val="0069033B"/>
    <w:rsid w:val="00690BFF"/>
    <w:rsid w:val="0069269D"/>
    <w:rsid w:val="00693401"/>
    <w:rsid w:val="00693878"/>
    <w:rsid w:val="00695A93"/>
    <w:rsid w:val="006971DA"/>
    <w:rsid w:val="006A01C6"/>
    <w:rsid w:val="006A102A"/>
    <w:rsid w:val="006A1146"/>
    <w:rsid w:val="006A1EEC"/>
    <w:rsid w:val="006A2418"/>
    <w:rsid w:val="006A2740"/>
    <w:rsid w:val="006A423A"/>
    <w:rsid w:val="006A43BD"/>
    <w:rsid w:val="006A6242"/>
    <w:rsid w:val="006B0F01"/>
    <w:rsid w:val="006B15D8"/>
    <w:rsid w:val="006B1B30"/>
    <w:rsid w:val="006B444E"/>
    <w:rsid w:val="006B6735"/>
    <w:rsid w:val="006B682A"/>
    <w:rsid w:val="006B6AA3"/>
    <w:rsid w:val="006B6FEA"/>
    <w:rsid w:val="006B7FA8"/>
    <w:rsid w:val="006C02A5"/>
    <w:rsid w:val="006C09E9"/>
    <w:rsid w:val="006C34A4"/>
    <w:rsid w:val="006C3647"/>
    <w:rsid w:val="006C3F87"/>
    <w:rsid w:val="006C4025"/>
    <w:rsid w:val="006C59BE"/>
    <w:rsid w:val="006C640F"/>
    <w:rsid w:val="006D014D"/>
    <w:rsid w:val="006D0244"/>
    <w:rsid w:val="006D2C16"/>
    <w:rsid w:val="006D356F"/>
    <w:rsid w:val="006D4D20"/>
    <w:rsid w:val="006D6A95"/>
    <w:rsid w:val="006D6EEB"/>
    <w:rsid w:val="006D72EB"/>
    <w:rsid w:val="006E0A27"/>
    <w:rsid w:val="006E18B6"/>
    <w:rsid w:val="006E292A"/>
    <w:rsid w:val="006E3240"/>
    <w:rsid w:val="006E4F0A"/>
    <w:rsid w:val="006E56A9"/>
    <w:rsid w:val="006E638C"/>
    <w:rsid w:val="006E724E"/>
    <w:rsid w:val="006E7DC2"/>
    <w:rsid w:val="006E7F86"/>
    <w:rsid w:val="006F2564"/>
    <w:rsid w:val="006F3CF7"/>
    <w:rsid w:val="006F3D67"/>
    <w:rsid w:val="006F3DBD"/>
    <w:rsid w:val="006F4440"/>
    <w:rsid w:val="006F52EB"/>
    <w:rsid w:val="006F6912"/>
    <w:rsid w:val="006F6991"/>
    <w:rsid w:val="006F7DA0"/>
    <w:rsid w:val="0070078A"/>
    <w:rsid w:val="00700AA0"/>
    <w:rsid w:val="00700FD2"/>
    <w:rsid w:val="00701E07"/>
    <w:rsid w:val="007025C5"/>
    <w:rsid w:val="007028FC"/>
    <w:rsid w:val="00702A5E"/>
    <w:rsid w:val="00703768"/>
    <w:rsid w:val="00704268"/>
    <w:rsid w:val="00705599"/>
    <w:rsid w:val="007056A0"/>
    <w:rsid w:val="00711A7D"/>
    <w:rsid w:val="00713088"/>
    <w:rsid w:val="007144C8"/>
    <w:rsid w:val="00714A59"/>
    <w:rsid w:val="0071579A"/>
    <w:rsid w:val="00716DCC"/>
    <w:rsid w:val="007217CD"/>
    <w:rsid w:val="00721AFA"/>
    <w:rsid w:val="00721BE8"/>
    <w:rsid w:val="007241AD"/>
    <w:rsid w:val="007243DF"/>
    <w:rsid w:val="00730B2D"/>
    <w:rsid w:val="007312D8"/>
    <w:rsid w:val="007313BC"/>
    <w:rsid w:val="00732660"/>
    <w:rsid w:val="00732B15"/>
    <w:rsid w:val="00733641"/>
    <w:rsid w:val="00733C35"/>
    <w:rsid w:val="007340A9"/>
    <w:rsid w:val="007340BD"/>
    <w:rsid w:val="007353F9"/>
    <w:rsid w:val="00735567"/>
    <w:rsid w:val="0073567D"/>
    <w:rsid w:val="00735ECC"/>
    <w:rsid w:val="00737AB0"/>
    <w:rsid w:val="007414AA"/>
    <w:rsid w:val="007415C5"/>
    <w:rsid w:val="0074247B"/>
    <w:rsid w:val="00742BC3"/>
    <w:rsid w:val="00743CC4"/>
    <w:rsid w:val="00744A5A"/>
    <w:rsid w:val="007459F3"/>
    <w:rsid w:val="00746971"/>
    <w:rsid w:val="0074FC64"/>
    <w:rsid w:val="007514D9"/>
    <w:rsid w:val="0075180E"/>
    <w:rsid w:val="00756D08"/>
    <w:rsid w:val="00756EFF"/>
    <w:rsid w:val="0075716D"/>
    <w:rsid w:val="00760C35"/>
    <w:rsid w:val="00762FA5"/>
    <w:rsid w:val="007634B3"/>
    <w:rsid w:val="007635AF"/>
    <w:rsid w:val="0076437C"/>
    <w:rsid w:val="0076456C"/>
    <w:rsid w:val="007658DF"/>
    <w:rsid w:val="00767969"/>
    <w:rsid w:val="00770A4F"/>
    <w:rsid w:val="00770B36"/>
    <w:rsid w:val="00770B92"/>
    <w:rsid w:val="00771208"/>
    <w:rsid w:val="00771268"/>
    <w:rsid w:val="007717CC"/>
    <w:rsid w:val="00771873"/>
    <w:rsid w:val="0077233A"/>
    <w:rsid w:val="007723F2"/>
    <w:rsid w:val="0077342F"/>
    <w:rsid w:val="0077510F"/>
    <w:rsid w:val="00775C70"/>
    <w:rsid w:val="00777475"/>
    <w:rsid w:val="00780353"/>
    <w:rsid w:val="007809B2"/>
    <w:rsid w:val="0078162B"/>
    <w:rsid w:val="00781D67"/>
    <w:rsid w:val="007827CE"/>
    <w:rsid w:val="00782FA2"/>
    <w:rsid w:val="00783659"/>
    <w:rsid w:val="00785859"/>
    <w:rsid w:val="00785F5B"/>
    <w:rsid w:val="00786FBF"/>
    <w:rsid w:val="0078731B"/>
    <w:rsid w:val="00787A67"/>
    <w:rsid w:val="0079189A"/>
    <w:rsid w:val="00791D53"/>
    <w:rsid w:val="00793ED3"/>
    <w:rsid w:val="00794659"/>
    <w:rsid w:val="007946CA"/>
    <w:rsid w:val="007A0D50"/>
    <w:rsid w:val="007A146E"/>
    <w:rsid w:val="007A445D"/>
    <w:rsid w:val="007A5A95"/>
    <w:rsid w:val="007A6D14"/>
    <w:rsid w:val="007A7722"/>
    <w:rsid w:val="007B0724"/>
    <w:rsid w:val="007B0BBF"/>
    <w:rsid w:val="007B1454"/>
    <w:rsid w:val="007B18B2"/>
    <w:rsid w:val="007B2401"/>
    <w:rsid w:val="007B2715"/>
    <w:rsid w:val="007B28B1"/>
    <w:rsid w:val="007B3B63"/>
    <w:rsid w:val="007B4A9D"/>
    <w:rsid w:val="007B7B84"/>
    <w:rsid w:val="007C03CD"/>
    <w:rsid w:val="007C13CB"/>
    <w:rsid w:val="007C3968"/>
    <w:rsid w:val="007C3D12"/>
    <w:rsid w:val="007C4D89"/>
    <w:rsid w:val="007C5020"/>
    <w:rsid w:val="007C6F8A"/>
    <w:rsid w:val="007C7363"/>
    <w:rsid w:val="007C7D87"/>
    <w:rsid w:val="007D10B0"/>
    <w:rsid w:val="007D15AD"/>
    <w:rsid w:val="007D2657"/>
    <w:rsid w:val="007D32D7"/>
    <w:rsid w:val="007D438C"/>
    <w:rsid w:val="007D47B1"/>
    <w:rsid w:val="007D7C32"/>
    <w:rsid w:val="007E0A4A"/>
    <w:rsid w:val="007E0F8C"/>
    <w:rsid w:val="007E261B"/>
    <w:rsid w:val="007E5878"/>
    <w:rsid w:val="007E69FD"/>
    <w:rsid w:val="007E7636"/>
    <w:rsid w:val="007F046E"/>
    <w:rsid w:val="007F0748"/>
    <w:rsid w:val="007F17B9"/>
    <w:rsid w:val="007F2789"/>
    <w:rsid w:val="007F49F2"/>
    <w:rsid w:val="007F5149"/>
    <w:rsid w:val="007F71C8"/>
    <w:rsid w:val="007F79F9"/>
    <w:rsid w:val="00802C78"/>
    <w:rsid w:val="00804BA3"/>
    <w:rsid w:val="008051CB"/>
    <w:rsid w:val="00806ADD"/>
    <w:rsid w:val="00807337"/>
    <w:rsid w:val="0080762E"/>
    <w:rsid w:val="00807862"/>
    <w:rsid w:val="00810443"/>
    <w:rsid w:val="008140F7"/>
    <w:rsid w:val="00814201"/>
    <w:rsid w:val="00814D4A"/>
    <w:rsid w:val="00814EBA"/>
    <w:rsid w:val="00816C5D"/>
    <w:rsid w:val="00817D06"/>
    <w:rsid w:val="008233CF"/>
    <w:rsid w:val="00826793"/>
    <w:rsid w:val="0083116A"/>
    <w:rsid w:val="008318DD"/>
    <w:rsid w:val="00831E28"/>
    <w:rsid w:val="0083219B"/>
    <w:rsid w:val="00833902"/>
    <w:rsid w:val="0083680C"/>
    <w:rsid w:val="008405D3"/>
    <w:rsid w:val="008412FB"/>
    <w:rsid w:val="00842C1F"/>
    <w:rsid w:val="00844780"/>
    <w:rsid w:val="0084558B"/>
    <w:rsid w:val="008464B5"/>
    <w:rsid w:val="008477CE"/>
    <w:rsid w:val="00847AE9"/>
    <w:rsid w:val="00847E27"/>
    <w:rsid w:val="00852D8E"/>
    <w:rsid w:val="008539F9"/>
    <w:rsid w:val="00855D77"/>
    <w:rsid w:val="00857AFB"/>
    <w:rsid w:val="0086166B"/>
    <w:rsid w:val="008632B4"/>
    <w:rsid w:val="00864F5D"/>
    <w:rsid w:val="00865A21"/>
    <w:rsid w:val="008663D1"/>
    <w:rsid w:val="00866781"/>
    <w:rsid w:val="00867D39"/>
    <w:rsid w:val="00870C27"/>
    <w:rsid w:val="00870C97"/>
    <w:rsid w:val="00871C4B"/>
    <w:rsid w:val="008739C2"/>
    <w:rsid w:val="00874433"/>
    <w:rsid w:val="0087531E"/>
    <w:rsid w:val="008767B6"/>
    <w:rsid w:val="00881DEE"/>
    <w:rsid w:val="00883099"/>
    <w:rsid w:val="00886755"/>
    <w:rsid w:val="008868C4"/>
    <w:rsid w:val="00886A24"/>
    <w:rsid w:val="00886C9B"/>
    <w:rsid w:val="00886E44"/>
    <w:rsid w:val="00890C81"/>
    <w:rsid w:val="00894143"/>
    <w:rsid w:val="00894569"/>
    <w:rsid w:val="00894930"/>
    <w:rsid w:val="00896A35"/>
    <w:rsid w:val="00897074"/>
    <w:rsid w:val="008977B1"/>
    <w:rsid w:val="008979A8"/>
    <w:rsid w:val="008A021A"/>
    <w:rsid w:val="008A2A1F"/>
    <w:rsid w:val="008A3FE2"/>
    <w:rsid w:val="008A5EBB"/>
    <w:rsid w:val="008A7468"/>
    <w:rsid w:val="008A7B0A"/>
    <w:rsid w:val="008B18E9"/>
    <w:rsid w:val="008B4EF9"/>
    <w:rsid w:val="008B5046"/>
    <w:rsid w:val="008B6D66"/>
    <w:rsid w:val="008B70A7"/>
    <w:rsid w:val="008B7BCA"/>
    <w:rsid w:val="008C1CBC"/>
    <w:rsid w:val="008C284C"/>
    <w:rsid w:val="008C4AF4"/>
    <w:rsid w:val="008C6E60"/>
    <w:rsid w:val="008C765F"/>
    <w:rsid w:val="008C7C03"/>
    <w:rsid w:val="008D0256"/>
    <w:rsid w:val="008D0846"/>
    <w:rsid w:val="008D0A42"/>
    <w:rsid w:val="008D118E"/>
    <w:rsid w:val="008D2FE2"/>
    <w:rsid w:val="008D35DA"/>
    <w:rsid w:val="008D3B5E"/>
    <w:rsid w:val="008D52CE"/>
    <w:rsid w:val="008D6BF3"/>
    <w:rsid w:val="008D7259"/>
    <w:rsid w:val="008D7523"/>
    <w:rsid w:val="008D7601"/>
    <w:rsid w:val="008D77EA"/>
    <w:rsid w:val="008E29E9"/>
    <w:rsid w:val="008E2C5C"/>
    <w:rsid w:val="008E4C4B"/>
    <w:rsid w:val="008E5044"/>
    <w:rsid w:val="008E5596"/>
    <w:rsid w:val="008F0D46"/>
    <w:rsid w:val="008F12F7"/>
    <w:rsid w:val="008F3343"/>
    <w:rsid w:val="008F3F46"/>
    <w:rsid w:val="008F3F50"/>
    <w:rsid w:val="008F4FEA"/>
    <w:rsid w:val="008F5E2A"/>
    <w:rsid w:val="008F679F"/>
    <w:rsid w:val="008F6F32"/>
    <w:rsid w:val="008F71AF"/>
    <w:rsid w:val="008F752E"/>
    <w:rsid w:val="0090052D"/>
    <w:rsid w:val="009010E4"/>
    <w:rsid w:val="00901D3B"/>
    <w:rsid w:val="00902010"/>
    <w:rsid w:val="009021E3"/>
    <w:rsid w:val="00902D3B"/>
    <w:rsid w:val="00903336"/>
    <w:rsid w:val="0090391D"/>
    <w:rsid w:val="00903B0D"/>
    <w:rsid w:val="00903F89"/>
    <w:rsid w:val="00903FE5"/>
    <w:rsid w:val="00904C90"/>
    <w:rsid w:val="009105B1"/>
    <w:rsid w:val="009107B9"/>
    <w:rsid w:val="00911A58"/>
    <w:rsid w:val="009124A5"/>
    <w:rsid w:val="009125C1"/>
    <w:rsid w:val="009128C5"/>
    <w:rsid w:val="00912A06"/>
    <w:rsid w:val="00912A7B"/>
    <w:rsid w:val="00912C1E"/>
    <w:rsid w:val="0091338C"/>
    <w:rsid w:val="009135AA"/>
    <w:rsid w:val="00913662"/>
    <w:rsid w:val="009148CC"/>
    <w:rsid w:val="0091539E"/>
    <w:rsid w:val="00915B8A"/>
    <w:rsid w:val="00916136"/>
    <w:rsid w:val="00917A23"/>
    <w:rsid w:val="00920D08"/>
    <w:rsid w:val="00920D99"/>
    <w:rsid w:val="00921089"/>
    <w:rsid w:val="009210FE"/>
    <w:rsid w:val="009216FD"/>
    <w:rsid w:val="009231C5"/>
    <w:rsid w:val="00923C8B"/>
    <w:rsid w:val="00924107"/>
    <w:rsid w:val="00925540"/>
    <w:rsid w:val="00926854"/>
    <w:rsid w:val="00927211"/>
    <w:rsid w:val="00927537"/>
    <w:rsid w:val="009302E2"/>
    <w:rsid w:val="00931527"/>
    <w:rsid w:val="00931B3E"/>
    <w:rsid w:val="00932AC6"/>
    <w:rsid w:val="0093300B"/>
    <w:rsid w:val="00934320"/>
    <w:rsid w:val="00935932"/>
    <w:rsid w:val="00936A7F"/>
    <w:rsid w:val="00936EAC"/>
    <w:rsid w:val="00940020"/>
    <w:rsid w:val="009400F1"/>
    <w:rsid w:val="0094056C"/>
    <w:rsid w:val="0094308F"/>
    <w:rsid w:val="009430B6"/>
    <w:rsid w:val="00943166"/>
    <w:rsid w:val="009436C0"/>
    <w:rsid w:val="00945ACC"/>
    <w:rsid w:val="00947587"/>
    <w:rsid w:val="00947C8F"/>
    <w:rsid w:val="009509B5"/>
    <w:rsid w:val="00950ED7"/>
    <w:rsid w:val="00950FA2"/>
    <w:rsid w:val="00951802"/>
    <w:rsid w:val="009519F5"/>
    <w:rsid w:val="00952FC2"/>
    <w:rsid w:val="00953611"/>
    <w:rsid w:val="00953B64"/>
    <w:rsid w:val="00953F01"/>
    <w:rsid w:val="009544D1"/>
    <w:rsid w:val="0095468B"/>
    <w:rsid w:val="00954BDC"/>
    <w:rsid w:val="0095594A"/>
    <w:rsid w:val="00956C70"/>
    <w:rsid w:val="0095743C"/>
    <w:rsid w:val="00957474"/>
    <w:rsid w:val="00960578"/>
    <w:rsid w:val="00962AF2"/>
    <w:rsid w:val="00964BC8"/>
    <w:rsid w:val="00966700"/>
    <w:rsid w:val="00966F6B"/>
    <w:rsid w:val="00970490"/>
    <w:rsid w:val="00970A63"/>
    <w:rsid w:val="00973DBF"/>
    <w:rsid w:val="00973EE9"/>
    <w:rsid w:val="0097476A"/>
    <w:rsid w:val="00975FBE"/>
    <w:rsid w:val="00977BF0"/>
    <w:rsid w:val="0098029E"/>
    <w:rsid w:val="00980FA3"/>
    <w:rsid w:val="00981384"/>
    <w:rsid w:val="00981661"/>
    <w:rsid w:val="00982108"/>
    <w:rsid w:val="009823FE"/>
    <w:rsid w:val="00983137"/>
    <w:rsid w:val="00984E38"/>
    <w:rsid w:val="00986BB0"/>
    <w:rsid w:val="00986C0A"/>
    <w:rsid w:val="00987989"/>
    <w:rsid w:val="00990725"/>
    <w:rsid w:val="009911C8"/>
    <w:rsid w:val="009912DD"/>
    <w:rsid w:val="009938E7"/>
    <w:rsid w:val="0099415C"/>
    <w:rsid w:val="00995FC5"/>
    <w:rsid w:val="009960CA"/>
    <w:rsid w:val="0099643C"/>
    <w:rsid w:val="0099666B"/>
    <w:rsid w:val="009A04FC"/>
    <w:rsid w:val="009A1C23"/>
    <w:rsid w:val="009A1E3F"/>
    <w:rsid w:val="009A30FD"/>
    <w:rsid w:val="009A3553"/>
    <w:rsid w:val="009A5E03"/>
    <w:rsid w:val="009A623F"/>
    <w:rsid w:val="009A6DD4"/>
    <w:rsid w:val="009A7AEA"/>
    <w:rsid w:val="009A7C2F"/>
    <w:rsid w:val="009B170A"/>
    <w:rsid w:val="009B3E9B"/>
    <w:rsid w:val="009B4DD3"/>
    <w:rsid w:val="009B653C"/>
    <w:rsid w:val="009B742B"/>
    <w:rsid w:val="009B7850"/>
    <w:rsid w:val="009C06A4"/>
    <w:rsid w:val="009C077B"/>
    <w:rsid w:val="009C19D1"/>
    <w:rsid w:val="009C3F81"/>
    <w:rsid w:val="009C55CD"/>
    <w:rsid w:val="009D1148"/>
    <w:rsid w:val="009D1E99"/>
    <w:rsid w:val="009D2039"/>
    <w:rsid w:val="009D2D18"/>
    <w:rsid w:val="009D580F"/>
    <w:rsid w:val="009D62D5"/>
    <w:rsid w:val="009D64A4"/>
    <w:rsid w:val="009D6C6B"/>
    <w:rsid w:val="009D73BE"/>
    <w:rsid w:val="009E0B6A"/>
    <w:rsid w:val="009E0B94"/>
    <w:rsid w:val="009E1606"/>
    <w:rsid w:val="009E1A2D"/>
    <w:rsid w:val="009E2049"/>
    <w:rsid w:val="009E4153"/>
    <w:rsid w:val="009E4571"/>
    <w:rsid w:val="009E5CC5"/>
    <w:rsid w:val="009E5D05"/>
    <w:rsid w:val="009E6311"/>
    <w:rsid w:val="009E6AE2"/>
    <w:rsid w:val="009E7B84"/>
    <w:rsid w:val="009F06FE"/>
    <w:rsid w:val="009F1396"/>
    <w:rsid w:val="009F1C6C"/>
    <w:rsid w:val="009F38C3"/>
    <w:rsid w:val="009F5835"/>
    <w:rsid w:val="009F5F01"/>
    <w:rsid w:val="009F6014"/>
    <w:rsid w:val="009F7D99"/>
    <w:rsid w:val="00A018B5"/>
    <w:rsid w:val="00A0238D"/>
    <w:rsid w:val="00A03659"/>
    <w:rsid w:val="00A03F3F"/>
    <w:rsid w:val="00A04229"/>
    <w:rsid w:val="00A0573E"/>
    <w:rsid w:val="00A068FF"/>
    <w:rsid w:val="00A071B8"/>
    <w:rsid w:val="00A075A1"/>
    <w:rsid w:val="00A109F1"/>
    <w:rsid w:val="00A1188F"/>
    <w:rsid w:val="00A13127"/>
    <w:rsid w:val="00A1463E"/>
    <w:rsid w:val="00A14A71"/>
    <w:rsid w:val="00A14EEF"/>
    <w:rsid w:val="00A1583F"/>
    <w:rsid w:val="00A1594C"/>
    <w:rsid w:val="00A16047"/>
    <w:rsid w:val="00A16937"/>
    <w:rsid w:val="00A17071"/>
    <w:rsid w:val="00A23B36"/>
    <w:rsid w:val="00A23C7B"/>
    <w:rsid w:val="00A23D44"/>
    <w:rsid w:val="00A26828"/>
    <w:rsid w:val="00A27B35"/>
    <w:rsid w:val="00A307C5"/>
    <w:rsid w:val="00A31CCE"/>
    <w:rsid w:val="00A31DD5"/>
    <w:rsid w:val="00A326E9"/>
    <w:rsid w:val="00A340FB"/>
    <w:rsid w:val="00A34D82"/>
    <w:rsid w:val="00A35486"/>
    <w:rsid w:val="00A35C25"/>
    <w:rsid w:val="00A36845"/>
    <w:rsid w:val="00A37C8B"/>
    <w:rsid w:val="00A42284"/>
    <w:rsid w:val="00A429C2"/>
    <w:rsid w:val="00A42F09"/>
    <w:rsid w:val="00A43687"/>
    <w:rsid w:val="00A43744"/>
    <w:rsid w:val="00A44584"/>
    <w:rsid w:val="00A44842"/>
    <w:rsid w:val="00A44E0E"/>
    <w:rsid w:val="00A466D6"/>
    <w:rsid w:val="00A47CBC"/>
    <w:rsid w:val="00A501AB"/>
    <w:rsid w:val="00A516ED"/>
    <w:rsid w:val="00A52428"/>
    <w:rsid w:val="00A54BB9"/>
    <w:rsid w:val="00A55356"/>
    <w:rsid w:val="00A556FD"/>
    <w:rsid w:val="00A56DA4"/>
    <w:rsid w:val="00A56F8A"/>
    <w:rsid w:val="00A574ED"/>
    <w:rsid w:val="00A5776A"/>
    <w:rsid w:val="00A57AC0"/>
    <w:rsid w:val="00A57D07"/>
    <w:rsid w:val="00A62234"/>
    <w:rsid w:val="00A62A38"/>
    <w:rsid w:val="00A63A54"/>
    <w:rsid w:val="00A64461"/>
    <w:rsid w:val="00A645FF"/>
    <w:rsid w:val="00A65B45"/>
    <w:rsid w:val="00A65EA6"/>
    <w:rsid w:val="00A66412"/>
    <w:rsid w:val="00A66603"/>
    <w:rsid w:val="00A717F1"/>
    <w:rsid w:val="00A72574"/>
    <w:rsid w:val="00A72AA6"/>
    <w:rsid w:val="00A7330A"/>
    <w:rsid w:val="00A73C12"/>
    <w:rsid w:val="00A749B5"/>
    <w:rsid w:val="00A759E5"/>
    <w:rsid w:val="00A75F02"/>
    <w:rsid w:val="00A760D2"/>
    <w:rsid w:val="00A77B02"/>
    <w:rsid w:val="00A802BE"/>
    <w:rsid w:val="00A80F19"/>
    <w:rsid w:val="00A81F37"/>
    <w:rsid w:val="00A832EE"/>
    <w:rsid w:val="00A834B8"/>
    <w:rsid w:val="00A83C2C"/>
    <w:rsid w:val="00A90E57"/>
    <w:rsid w:val="00A90FB9"/>
    <w:rsid w:val="00A934F4"/>
    <w:rsid w:val="00A935F1"/>
    <w:rsid w:val="00A936C5"/>
    <w:rsid w:val="00A954A5"/>
    <w:rsid w:val="00AA0607"/>
    <w:rsid w:val="00AA0773"/>
    <w:rsid w:val="00AA152E"/>
    <w:rsid w:val="00AA2808"/>
    <w:rsid w:val="00AA2F04"/>
    <w:rsid w:val="00AA3028"/>
    <w:rsid w:val="00AA36C3"/>
    <w:rsid w:val="00AA3F6F"/>
    <w:rsid w:val="00AA44A3"/>
    <w:rsid w:val="00AA5652"/>
    <w:rsid w:val="00AA5DA4"/>
    <w:rsid w:val="00AA7B51"/>
    <w:rsid w:val="00AB0BCD"/>
    <w:rsid w:val="00AB25C7"/>
    <w:rsid w:val="00AB3F6B"/>
    <w:rsid w:val="00AB539C"/>
    <w:rsid w:val="00AB5894"/>
    <w:rsid w:val="00AB6955"/>
    <w:rsid w:val="00AB7F90"/>
    <w:rsid w:val="00AC0333"/>
    <w:rsid w:val="00AC0C18"/>
    <w:rsid w:val="00AC1F19"/>
    <w:rsid w:val="00AC207E"/>
    <w:rsid w:val="00AC2C92"/>
    <w:rsid w:val="00AC3D8F"/>
    <w:rsid w:val="00AC5DB7"/>
    <w:rsid w:val="00AD1093"/>
    <w:rsid w:val="00AD1992"/>
    <w:rsid w:val="00AD3D71"/>
    <w:rsid w:val="00AD44B7"/>
    <w:rsid w:val="00AD458A"/>
    <w:rsid w:val="00AD4E7F"/>
    <w:rsid w:val="00AD4FEB"/>
    <w:rsid w:val="00AD5111"/>
    <w:rsid w:val="00AE04C6"/>
    <w:rsid w:val="00AE1D3E"/>
    <w:rsid w:val="00AE21D0"/>
    <w:rsid w:val="00AE2BB5"/>
    <w:rsid w:val="00AE2D3A"/>
    <w:rsid w:val="00AE2DDE"/>
    <w:rsid w:val="00AE4B62"/>
    <w:rsid w:val="00AE555A"/>
    <w:rsid w:val="00AE628E"/>
    <w:rsid w:val="00AE75D9"/>
    <w:rsid w:val="00AF06E2"/>
    <w:rsid w:val="00AF07AC"/>
    <w:rsid w:val="00AF0C66"/>
    <w:rsid w:val="00AF137E"/>
    <w:rsid w:val="00AF3805"/>
    <w:rsid w:val="00AF54D9"/>
    <w:rsid w:val="00AF58E9"/>
    <w:rsid w:val="00AF5D0D"/>
    <w:rsid w:val="00AF6E2E"/>
    <w:rsid w:val="00B00F15"/>
    <w:rsid w:val="00B017F1"/>
    <w:rsid w:val="00B02E19"/>
    <w:rsid w:val="00B02E88"/>
    <w:rsid w:val="00B03148"/>
    <w:rsid w:val="00B04DD1"/>
    <w:rsid w:val="00B04F2D"/>
    <w:rsid w:val="00B07F4D"/>
    <w:rsid w:val="00B107BB"/>
    <w:rsid w:val="00B10B76"/>
    <w:rsid w:val="00B112EC"/>
    <w:rsid w:val="00B11B71"/>
    <w:rsid w:val="00B11E6E"/>
    <w:rsid w:val="00B14EBD"/>
    <w:rsid w:val="00B15924"/>
    <w:rsid w:val="00B1660D"/>
    <w:rsid w:val="00B16E4D"/>
    <w:rsid w:val="00B209FA"/>
    <w:rsid w:val="00B21558"/>
    <w:rsid w:val="00B2497E"/>
    <w:rsid w:val="00B25ED6"/>
    <w:rsid w:val="00B264A5"/>
    <w:rsid w:val="00B27E0A"/>
    <w:rsid w:val="00B302DF"/>
    <w:rsid w:val="00B30A01"/>
    <w:rsid w:val="00B30EA0"/>
    <w:rsid w:val="00B31079"/>
    <w:rsid w:val="00B3132C"/>
    <w:rsid w:val="00B34EDD"/>
    <w:rsid w:val="00B34FFE"/>
    <w:rsid w:val="00B36173"/>
    <w:rsid w:val="00B365C8"/>
    <w:rsid w:val="00B3721F"/>
    <w:rsid w:val="00B372F9"/>
    <w:rsid w:val="00B37701"/>
    <w:rsid w:val="00B377A6"/>
    <w:rsid w:val="00B4315E"/>
    <w:rsid w:val="00B43AE4"/>
    <w:rsid w:val="00B46644"/>
    <w:rsid w:val="00B47CF1"/>
    <w:rsid w:val="00B5043F"/>
    <w:rsid w:val="00B50944"/>
    <w:rsid w:val="00B50C5B"/>
    <w:rsid w:val="00B50F48"/>
    <w:rsid w:val="00B51A36"/>
    <w:rsid w:val="00B526C2"/>
    <w:rsid w:val="00B54F94"/>
    <w:rsid w:val="00B55C46"/>
    <w:rsid w:val="00B565C1"/>
    <w:rsid w:val="00B56DA5"/>
    <w:rsid w:val="00B57621"/>
    <w:rsid w:val="00B61316"/>
    <w:rsid w:val="00B6136D"/>
    <w:rsid w:val="00B63E8F"/>
    <w:rsid w:val="00B649E9"/>
    <w:rsid w:val="00B66087"/>
    <w:rsid w:val="00B66767"/>
    <w:rsid w:val="00B677F0"/>
    <w:rsid w:val="00B6784F"/>
    <w:rsid w:val="00B7094F"/>
    <w:rsid w:val="00B70CC5"/>
    <w:rsid w:val="00B7161A"/>
    <w:rsid w:val="00B73172"/>
    <w:rsid w:val="00B76E25"/>
    <w:rsid w:val="00B773D3"/>
    <w:rsid w:val="00B7740E"/>
    <w:rsid w:val="00B81990"/>
    <w:rsid w:val="00B81B29"/>
    <w:rsid w:val="00B83293"/>
    <w:rsid w:val="00B837B3"/>
    <w:rsid w:val="00B837E7"/>
    <w:rsid w:val="00B83802"/>
    <w:rsid w:val="00B84120"/>
    <w:rsid w:val="00B848FC"/>
    <w:rsid w:val="00B8629A"/>
    <w:rsid w:val="00B8653E"/>
    <w:rsid w:val="00B86555"/>
    <w:rsid w:val="00B86A5D"/>
    <w:rsid w:val="00B86F4A"/>
    <w:rsid w:val="00B90E7E"/>
    <w:rsid w:val="00B91470"/>
    <w:rsid w:val="00B92523"/>
    <w:rsid w:val="00B92790"/>
    <w:rsid w:val="00B92817"/>
    <w:rsid w:val="00B92B21"/>
    <w:rsid w:val="00B938A4"/>
    <w:rsid w:val="00B952A6"/>
    <w:rsid w:val="00B95B2B"/>
    <w:rsid w:val="00B9641A"/>
    <w:rsid w:val="00B96B46"/>
    <w:rsid w:val="00BA0B8C"/>
    <w:rsid w:val="00BA0F82"/>
    <w:rsid w:val="00BA10CC"/>
    <w:rsid w:val="00BA1379"/>
    <w:rsid w:val="00BA316C"/>
    <w:rsid w:val="00BA349C"/>
    <w:rsid w:val="00BA4052"/>
    <w:rsid w:val="00BA5D9B"/>
    <w:rsid w:val="00BA6CEC"/>
    <w:rsid w:val="00BA7228"/>
    <w:rsid w:val="00BA72ED"/>
    <w:rsid w:val="00BA7DCE"/>
    <w:rsid w:val="00BB135D"/>
    <w:rsid w:val="00BB44EB"/>
    <w:rsid w:val="00BB523A"/>
    <w:rsid w:val="00BB5B14"/>
    <w:rsid w:val="00BB7187"/>
    <w:rsid w:val="00BC026F"/>
    <w:rsid w:val="00BC18F3"/>
    <w:rsid w:val="00BC1CC3"/>
    <w:rsid w:val="00BC204F"/>
    <w:rsid w:val="00BC21E6"/>
    <w:rsid w:val="00BC2214"/>
    <w:rsid w:val="00BC301A"/>
    <w:rsid w:val="00BC3B52"/>
    <w:rsid w:val="00BC4EE5"/>
    <w:rsid w:val="00BC6089"/>
    <w:rsid w:val="00BC6217"/>
    <w:rsid w:val="00BC67D5"/>
    <w:rsid w:val="00BC6CCA"/>
    <w:rsid w:val="00BD06A0"/>
    <w:rsid w:val="00BD1E44"/>
    <w:rsid w:val="00BD44EB"/>
    <w:rsid w:val="00BD4A3F"/>
    <w:rsid w:val="00BD527E"/>
    <w:rsid w:val="00BD5BEB"/>
    <w:rsid w:val="00BD6E50"/>
    <w:rsid w:val="00BE0AD1"/>
    <w:rsid w:val="00BE113F"/>
    <w:rsid w:val="00BE55B9"/>
    <w:rsid w:val="00BE6E65"/>
    <w:rsid w:val="00BE7A09"/>
    <w:rsid w:val="00BE7FF4"/>
    <w:rsid w:val="00BF0A29"/>
    <w:rsid w:val="00BF13E7"/>
    <w:rsid w:val="00BF1449"/>
    <w:rsid w:val="00BF18CD"/>
    <w:rsid w:val="00BF2EA1"/>
    <w:rsid w:val="00BF2F21"/>
    <w:rsid w:val="00BF3015"/>
    <w:rsid w:val="00BF428C"/>
    <w:rsid w:val="00BF476D"/>
    <w:rsid w:val="00BF50F2"/>
    <w:rsid w:val="00BF5BC5"/>
    <w:rsid w:val="00BF671C"/>
    <w:rsid w:val="00BF7732"/>
    <w:rsid w:val="00BF7B62"/>
    <w:rsid w:val="00BF7FBB"/>
    <w:rsid w:val="00C0058C"/>
    <w:rsid w:val="00C00BF3"/>
    <w:rsid w:val="00C0180F"/>
    <w:rsid w:val="00C02452"/>
    <w:rsid w:val="00C02B5A"/>
    <w:rsid w:val="00C02C1B"/>
    <w:rsid w:val="00C02F56"/>
    <w:rsid w:val="00C0566E"/>
    <w:rsid w:val="00C058D7"/>
    <w:rsid w:val="00C05FA2"/>
    <w:rsid w:val="00C0636A"/>
    <w:rsid w:val="00C0695E"/>
    <w:rsid w:val="00C071B8"/>
    <w:rsid w:val="00C11F04"/>
    <w:rsid w:val="00C12420"/>
    <w:rsid w:val="00C15CBC"/>
    <w:rsid w:val="00C162F1"/>
    <w:rsid w:val="00C1668A"/>
    <w:rsid w:val="00C17193"/>
    <w:rsid w:val="00C21BE0"/>
    <w:rsid w:val="00C22243"/>
    <w:rsid w:val="00C23FAF"/>
    <w:rsid w:val="00C259C2"/>
    <w:rsid w:val="00C260E1"/>
    <w:rsid w:val="00C26AA4"/>
    <w:rsid w:val="00C26E19"/>
    <w:rsid w:val="00C3061C"/>
    <w:rsid w:val="00C30CF4"/>
    <w:rsid w:val="00C30EC6"/>
    <w:rsid w:val="00C31DF1"/>
    <w:rsid w:val="00C339EF"/>
    <w:rsid w:val="00C33A0B"/>
    <w:rsid w:val="00C34FC8"/>
    <w:rsid w:val="00C3636D"/>
    <w:rsid w:val="00C37E34"/>
    <w:rsid w:val="00C40CED"/>
    <w:rsid w:val="00C419C5"/>
    <w:rsid w:val="00C43C62"/>
    <w:rsid w:val="00C43D41"/>
    <w:rsid w:val="00C43FEC"/>
    <w:rsid w:val="00C441C4"/>
    <w:rsid w:val="00C44424"/>
    <w:rsid w:val="00C44A0C"/>
    <w:rsid w:val="00C45888"/>
    <w:rsid w:val="00C459D0"/>
    <w:rsid w:val="00C4697B"/>
    <w:rsid w:val="00C47078"/>
    <w:rsid w:val="00C516E7"/>
    <w:rsid w:val="00C52A69"/>
    <w:rsid w:val="00C52F94"/>
    <w:rsid w:val="00C57646"/>
    <w:rsid w:val="00C6042D"/>
    <w:rsid w:val="00C607C2"/>
    <w:rsid w:val="00C6192B"/>
    <w:rsid w:val="00C624EF"/>
    <w:rsid w:val="00C631FF"/>
    <w:rsid w:val="00C63702"/>
    <w:rsid w:val="00C64DBF"/>
    <w:rsid w:val="00C66EF2"/>
    <w:rsid w:val="00C67DB9"/>
    <w:rsid w:val="00C7031F"/>
    <w:rsid w:val="00C70A3C"/>
    <w:rsid w:val="00C71742"/>
    <w:rsid w:val="00C71BA5"/>
    <w:rsid w:val="00C75056"/>
    <w:rsid w:val="00C7529B"/>
    <w:rsid w:val="00C75600"/>
    <w:rsid w:val="00C81740"/>
    <w:rsid w:val="00C81F2C"/>
    <w:rsid w:val="00C83474"/>
    <w:rsid w:val="00C837B1"/>
    <w:rsid w:val="00C83DB6"/>
    <w:rsid w:val="00C84D54"/>
    <w:rsid w:val="00C86011"/>
    <w:rsid w:val="00C8708A"/>
    <w:rsid w:val="00C87B50"/>
    <w:rsid w:val="00C90139"/>
    <w:rsid w:val="00C90B64"/>
    <w:rsid w:val="00C920B0"/>
    <w:rsid w:val="00C93113"/>
    <w:rsid w:val="00C93BD0"/>
    <w:rsid w:val="00C93F16"/>
    <w:rsid w:val="00C94077"/>
    <w:rsid w:val="00C9498E"/>
    <w:rsid w:val="00C966FF"/>
    <w:rsid w:val="00C96FBF"/>
    <w:rsid w:val="00C974A1"/>
    <w:rsid w:val="00CA0009"/>
    <w:rsid w:val="00CA001A"/>
    <w:rsid w:val="00CA158D"/>
    <w:rsid w:val="00CA27FF"/>
    <w:rsid w:val="00CA3521"/>
    <w:rsid w:val="00CA3CDF"/>
    <w:rsid w:val="00CA6EC2"/>
    <w:rsid w:val="00CA787F"/>
    <w:rsid w:val="00CA7C0A"/>
    <w:rsid w:val="00CB041B"/>
    <w:rsid w:val="00CB1CD5"/>
    <w:rsid w:val="00CB2147"/>
    <w:rsid w:val="00CB2C49"/>
    <w:rsid w:val="00CB3BB0"/>
    <w:rsid w:val="00CB44F5"/>
    <w:rsid w:val="00CB4E1C"/>
    <w:rsid w:val="00CB5197"/>
    <w:rsid w:val="00CB5284"/>
    <w:rsid w:val="00CB5751"/>
    <w:rsid w:val="00CB6777"/>
    <w:rsid w:val="00CB6A06"/>
    <w:rsid w:val="00CB7541"/>
    <w:rsid w:val="00CB75DF"/>
    <w:rsid w:val="00CC0940"/>
    <w:rsid w:val="00CC21EE"/>
    <w:rsid w:val="00CC278D"/>
    <w:rsid w:val="00CC2DE0"/>
    <w:rsid w:val="00CC33CC"/>
    <w:rsid w:val="00CC3A14"/>
    <w:rsid w:val="00CC45BE"/>
    <w:rsid w:val="00CC6096"/>
    <w:rsid w:val="00CC6712"/>
    <w:rsid w:val="00CC7C8B"/>
    <w:rsid w:val="00CD04F4"/>
    <w:rsid w:val="00CD09F5"/>
    <w:rsid w:val="00CD0DC5"/>
    <w:rsid w:val="00CD240A"/>
    <w:rsid w:val="00CD42D3"/>
    <w:rsid w:val="00CD444A"/>
    <w:rsid w:val="00CD7262"/>
    <w:rsid w:val="00CE1C8E"/>
    <w:rsid w:val="00CE2885"/>
    <w:rsid w:val="00CE43DF"/>
    <w:rsid w:val="00CF02AB"/>
    <w:rsid w:val="00CF311D"/>
    <w:rsid w:val="00CF53EE"/>
    <w:rsid w:val="00CF5C1C"/>
    <w:rsid w:val="00CF7087"/>
    <w:rsid w:val="00CF7895"/>
    <w:rsid w:val="00CF7B13"/>
    <w:rsid w:val="00D01F02"/>
    <w:rsid w:val="00D04228"/>
    <w:rsid w:val="00D10587"/>
    <w:rsid w:val="00D11148"/>
    <w:rsid w:val="00D1171C"/>
    <w:rsid w:val="00D1227A"/>
    <w:rsid w:val="00D12909"/>
    <w:rsid w:val="00D13037"/>
    <w:rsid w:val="00D15667"/>
    <w:rsid w:val="00D20A38"/>
    <w:rsid w:val="00D22075"/>
    <w:rsid w:val="00D2302B"/>
    <w:rsid w:val="00D23300"/>
    <w:rsid w:val="00D23899"/>
    <w:rsid w:val="00D23B39"/>
    <w:rsid w:val="00D24239"/>
    <w:rsid w:val="00D263F9"/>
    <w:rsid w:val="00D273F8"/>
    <w:rsid w:val="00D274A2"/>
    <w:rsid w:val="00D274F2"/>
    <w:rsid w:val="00D315A7"/>
    <w:rsid w:val="00D31BB7"/>
    <w:rsid w:val="00D31FEE"/>
    <w:rsid w:val="00D322A6"/>
    <w:rsid w:val="00D32740"/>
    <w:rsid w:val="00D33118"/>
    <w:rsid w:val="00D347E9"/>
    <w:rsid w:val="00D34AB5"/>
    <w:rsid w:val="00D34DED"/>
    <w:rsid w:val="00D35436"/>
    <w:rsid w:val="00D35A8B"/>
    <w:rsid w:val="00D37719"/>
    <w:rsid w:val="00D37DD8"/>
    <w:rsid w:val="00D37F8F"/>
    <w:rsid w:val="00D40C27"/>
    <w:rsid w:val="00D40CD3"/>
    <w:rsid w:val="00D41743"/>
    <w:rsid w:val="00D4273C"/>
    <w:rsid w:val="00D427C8"/>
    <w:rsid w:val="00D4534E"/>
    <w:rsid w:val="00D47067"/>
    <w:rsid w:val="00D50545"/>
    <w:rsid w:val="00D51182"/>
    <w:rsid w:val="00D566F0"/>
    <w:rsid w:val="00D567AB"/>
    <w:rsid w:val="00D573FF"/>
    <w:rsid w:val="00D57E33"/>
    <w:rsid w:val="00D60497"/>
    <w:rsid w:val="00D6073A"/>
    <w:rsid w:val="00D60A08"/>
    <w:rsid w:val="00D60F19"/>
    <w:rsid w:val="00D6119A"/>
    <w:rsid w:val="00D6130E"/>
    <w:rsid w:val="00D61836"/>
    <w:rsid w:val="00D61B17"/>
    <w:rsid w:val="00D62ED3"/>
    <w:rsid w:val="00D63212"/>
    <w:rsid w:val="00D65F60"/>
    <w:rsid w:val="00D662D1"/>
    <w:rsid w:val="00D6645C"/>
    <w:rsid w:val="00D70A72"/>
    <w:rsid w:val="00D718C0"/>
    <w:rsid w:val="00D72C22"/>
    <w:rsid w:val="00D75767"/>
    <w:rsid w:val="00D75928"/>
    <w:rsid w:val="00D820DF"/>
    <w:rsid w:val="00D83C9D"/>
    <w:rsid w:val="00D8523C"/>
    <w:rsid w:val="00D855DF"/>
    <w:rsid w:val="00D90BFC"/>
    <w:rsid w:val="00D9134B"/>
    <w:rsid w:val="00D915E6"/>
    <w:rsid w:val="00D91A31"/>
    <w:rsid w:val="00D9207B"/>
    <w:rsid w:val="00D93BED"/>
    <w:rsid w:val="00D93D58"/>
    <w:rsid w:val="00D940AD"/>
    <w:rsid w:val="00D94493"/>
    <w:rsid w:val="00D96A63"/>
    <w:rsid w:val="00D96C0A"/>
    <w:rsid w:val="00D97012"/>
    <w:rsid w:val="00D972AD"/>
    <w:rsid w:val="00D97656"/>
    <w:rsid w:val="00DA1C92"/>
    <w:rsid w:val="00DA219D"/>
    <w:rsid w:val="00DA2BAB"/>
    <w:rsid w:val="00DA3612"/>
    <w:rsid w:val="00DA4ACC"/>
    <w:rsid w:val="00DA51AA"/>
    <w:rsid w:val="00DA5AFA"/>
    <w:rsid w:val="00DA7402"/>
    <w:rsid w:val="00DB0B1A"/>
    <w:rsid w:val="00DB4B4A"/>
    <w:rsid w:val="00DB5B89"/>
    <w:rsid w:val="00DB6FC7"/>
    <w:rsid w:val="00DB7274"/>
    <w:rsid w:val="00DB7829"/>
    <w:rsid w:val="00DC13B8"/>
    <w:rsid w:val="00DC1404"/>
    <w:rsid w:val="00DC2933"/>
    <w:rsid w:val="00DC298A"/>
    <w:rsid w:val="00DC4273"/>
    <w:rsid w:val="00DC5429"/>
    <w:rsid w:val="00DC58AA"/>
    <w:rsid w:val="00DC704D"/>
    <w:rsid w:val="00DC7671"/>
    <w:rsid w:val="00DD3900"/>
    <w:rsid w:val="00DD4118"/>
    <w:rsid w:val="00DD4D84"/>
    <w:rsid w:val="00DD4E8D"/>
    <w:rsid w:val="00DD532D"/>
    <w:rsid w:val="00DD56D7"/>
    <w:rsid w:val="00DD6357"/>
    <w:rsid w:val="00DD767F"/>
    <w:rsid w:val="00DD7FC6"/>
    <w:rsid w:val="00DE01B3"/>
    <w:rsid w:val="00DE12B5"/>
    <w:rsid w:val="00DE18D5"/>
    <w:rsid w:val="00DE1C23"/>
    <w:rsid w:val="00DE1D36"/>
    <w:rsid w:val="00DE2497"/>
    <w:rsid w:val="00DE278D"/>
    <w:rsid w:val="00DE4AE4"/>
    <w:rsid w:val="00DE4FD2"/>
    <w:rsid w:val="00DE516B"/>
    <w:rsid w:val="00DE53FB"/>
    <w:rsid w:val="00DF1458"/>
    <w:rsid w:val="00DF1927"/>
    <w:rsid w:val="00DF220A"/>
    <w:rsid w:val="00DF250B"/>
    <w:rsid w:val="00DF2823"/>
    <w:rsid w:val="00DF420C"/>
    <w:rsid w:val="00DF4762"/>
    <w:rsid w:val="00DF4B70"/>
    <w:rsid w:val="00DF4F65"/>
    <w:rsid w:val="00DF6D7E"/>
    <w:rsid w:val="00DF76D2"/>
    <w:rsid w:val="00DF7DA5"/>
    <w:rsid w:val="00E0091E"/>
    <w:rsid w:val="00E00FB7"/>
    <w:rsid w:val="00E01E1E"/>
    <w:rsid w:val="00E02AA7"/>
    <w:rsid w:val="00E03D87"/>
    <w:rsid w:val="00E06F81"/>
    <w:rsid w:val="00E07882"/>
    <w:rsid w:val="00E078B3"/>
    <w:rsid w:val="00E078CE"/>
    <w:rsid w:val="00E07B85"/>
    <w:rsid w:val="00E10D1B"/>
    <w:rsid w:val="00E10F80"/>
    <w:rsid w:val="00E11652"/>
    <w:rsid w:val="00E118EE"/>
    <w:rsid w:val="00E1279F"/>
    <w:rsid w:val="00E12F4D"/>
    <w:rsid w:val="00E13EA5"/>
    <w:rsid w:val="00E13FCE"/>
    <w:rsid w:val="00E17A24"/>
    <w:rsid w:val="00E17F29"/>
    <w:rsid w:val="00E206EE"/>
    <w:rsid w:val="00E2161B"/>
    <w:rsid w:val="00E2211D"/>
    <w:rsid w:val="00E22AB8"/>
    <w:rsid w:val="00E23ED1"/>
    <w:rsid w:val="00E24457"/>
    <w:rsid w:val="00E25605"/>
    <w:rsid w:val="00E25FB2"/>
    <w:rsid w:val="00E26407"/>
    <w:rsid w:val="00E2640D"/>
    <w:rsid w:val="00E3010E"/>
    <w:rsid w:val="00E30211"/>
    <w:rsid w:val="00E30F1E"/>
    <w:rsid w:val="00E32EA5"/>
    <w:rsid w:val="00E33A26"/>
    <w:rsid w:val="00E33C09"/>
    <w:rsid w:val="00E33C6F"/>
    <w:rsid w:val="00E34A34"/>
    <w:rsid w:val="00E351D0"/>
    <w:rsid w:val="00E355D2"/>
    <w:rsid w:val="00E35857"/>
    <w:rsid w:val="00E36BFF"/>
    <w:rsid w:val="00E36C8E"/>
    <w:rsid w:val="00E37288"/>
    <w:rsid w:val="00E4098E"/>
    <w:rsid w:val="00E43DDB"/>
    <w:rsid w:val="00E43E49"/>
    <w:rsid w:val="00E44788"/>
    <w:rsid w:val="00E44DF8"/>
    <w:rsid w:val="00E453A8"/>
    <w:rsid w:val="00E4776E"/>
    <w:rsid w:val="00E500AC"/>
    <w:rsid w:val="00E51395"/>
    <w:rsid w:val="00E5164F"/>
    <w:rsid w:val="00E51791"/>
    <w:rsid w:val="00E53674"/>
    <w:rsid w:val="00E538A7"/>
    <w:rsid w:val="00E541DA"/>
    <w:rsid w:val="00E54722"/>
    <w:rsid w:val="00E5494C"/>
    <w:rsid w:val="00E54BB6"/>
    <w:rsid w:val="00E56475"/>
    <w:rsid w:val="00E5685D"/>
    <w:rsid w:val="00E57471"/>
    <w:rsid w:val="00E57C0E"/>
    <w:rsid w:val="00E57E83"/>
    <w:rsid w:val="00E61E8B"/>
    <w:rsid w:val="00E631D7"/>
    <w:rsid w:val="00E63DAC"/>
    <w:rsid w:val="00E64A40"/>
    <w:rsid w:val="00E66351"/>
    <w:rsid w:val="00E665AD"/>
    <w:rsid w:val="00E666FD"/>
    <w:rsid w:val="00E6736C"/>
    <w:rsid w:val="00E704B8"/>
    <w:rsid w:val="00E70D42"/>
    <w:rsid w:val="00E7134F"/>
    <w:rsid w:val="00E71427"/>
    <w:rsid w:val="00E71C88"/>
    <w:rsid w:val="00E71E7C"/>
    <w:rsid w:val="00E73767"/>
    <w:rsid w:val="00E744B3"/>
    <w:rsid w:val="00E7478B"/>
    <w:rsid w:val="00E751C7"/>
    <w:rsid w:val="00E753E9"/>
    <w:rsid w:val="00E766BA"/>
    <w:rsid w:val="00E767FB"/>
    <w:rsid w:val="00E76A47"/>
    <w:rsid w:val="00E77270"/>
    <w:rsid w:val="00E815D4"/>
    <w:rsid w:val="00E81D07"/>
    <w:rsid w:val="00E8232C"/>
    <w:rsid w:val="00E84DFB"/>
    <w:rsid w:val="00E858D4"/>
    <w:rsid w:val="00E86E3A"/>
    <w:rsid w:val="00E900A5"/>
    <w:rsid w:val="00E90902"/>
    <w:rsid w:val="00E9090C"/>
    <w:rsid w:val="00E92726"/>
    <w:rsid w:val="00E937FD"/>
    <w:rsid w:val="00E93C8C"/>
    <w:rsid w:val="00E95AB3"/>
    <w:rsid w:val="00E95DF0"/>
    <w:rsid w:val="00E96762"/>
    <w:rsid w:val="00E97DCD"/>
    <w:rsid w:val="00EA0F38"/>
    <w:rsid w:val="00EA22F4"/>
    <w:rsid w:val="00EA360E"/>
    <w:rsid w:val="00EA4031"/>
    <w:rsid w:val="00EA424D"/>
    <w:rsid w:val="00EA5031"/>
    <w:rsid w:val="00EA5C49"/>
    <w:rsid w:val="00EA7411"/>
    <w:rsid w:val="00EA7654"/>
    <w:rsid w:val="00EB02B6"/>
    <w:rsid w:val="00EB0559"/>
    <w:rsid w:val="00EB0598"/>
    <w:rsid w:val="00EB1032"/>
    <w:rsid w:val="00EB2901"/>
    <w:rsid w:val="00EB2934"/>
    <w:rsid w:val="00EB34D4"/>
    <w:rsid w:val="00EB6ED3"/>
    <w:rsid w:val="00EB6EDE"/>
    <w:rsid w:val="00EC0792"/>
    <w:rsid w:val="00EC08A1"/>
    <w:rsid w:val="00EC1123"/>
    <w:rsid w:val="00EC1F10"/>
    <w:rsid w:val="00EC3E04"/>
    <w:rsid w:val="00EC3E21"/>
    <w:rsid w:val="00EC4CAB"/>
    <w:rsid w:val="00EC5872"/>
    <w:rsid w:val="00EC5E49"/>
    <w:rsid w:val="00EC5F9D"/>
    <w:rsid w:val="00EC6A1E"/>
    <w:rsid w:val="00ED1A6B"/>
    <w:rsid w:val="00ED1DAF"/>
    <w:rsid w:val="00ED2C76"/>
    <w:rsid w:val="00ED403F"/>
    <w:rsid w:val="00ED441C"/>
    <w:rsid w:val="00ED5154"/>
    <w:rsid w:val="00ED5825"/>
    <w:rsid w:val="00EE11BB"/>
    <w:rsid w:val="00EE195D"/>
    <w:rsid w:val="00EE1C68"/>
    <w:rsid w:val="00EE36E7"/>
    <w:rsid w:val="00EE37A0"/>
    <w:rsid w:val="00EE3E88"/>
    <w:rsid w:val="00EE5E0E"/>
    <w:rsid w:val="00EE693D"/>
    <w:rsid w:val="00EF06BF"/>
    <w:rsid w:val="00EF0772"/>
    <w:rsid w:val="00EF1598"/>
    <w:rsid w:val="00EF1C66"/>
    <w:rsid w:val="00EF29F4"/>
    <w:rsid w:val="00EF5AE3"/>
    <w:rsid w:val="00EF5D27"/>
    <w:rsid w:val="00EF7BC3"/>
    <w:rsid w:val="00F00241"/>
    <w:rsid w:val="00F00594"/>
    <w:rsid w:val="00F00596"/>
    <w:rsid w:val="00F009F2"/>
    <w:rsid w:val="00F02575"/>
    <w:rsid w:val="00F02DEF"/>
    <w:rsid w:val="00F02E77"/>
    <w:rsid w:val="00F03827"/>
    <w:rsid w:val="00F05034"/>
    <w:rsid w:val="00F05889"/>
    <w:rsid w:val="00F05C23"/>
    <w:rsid w:val="00F06688"/>
    <w:rsid w:val="00F10273"/>
    <w:rsid w:val="00F1043B"/>
    <w:rsid w:val="00F1130C"/>
    <w:rsid w:val="00F118DC"/>
    <w:rsid w:val="00F1198B"/>
    <w:rsid w:val="00F12E0E"/>
    <w:rsid w:val="00F15839"/>
    <w:rsid w:val="00F168AF"/>
    <w:rsid w:val="00F16C14"/>
    <w:rsid w:val="00F1703C"/>
    <w:rsid w:val="00F170D0"/>
    <w:rsid w:val="00F17A32"/>
    <w:rsid w:val="00F208A5"/>
    <w:rsid w:val="00F23838"/>
    <w:rsid w:val="00F25F26"/>
    <w:rsid w:val="00F27A2B"/>
    <w:rsid w:val="00F30616"/>
    <w:rsid w:val="00F309A8"/>
    <w:rsid w:val="00F30D14"/>
    <w:rsid w:val="00F31327"/>
    <w:rsid w:val="00F3147E"/>
    <w:rsid w:val="00F31A78"/>
    <w:rsid w:val="00F32298"/>
    <w:rsid w:val="00F33E25"/>
    <w:rsid w:val="00F342E8"/>
    <w:rsid w:val="00F343F3"/>
    <w:rsid w:val="00F37B73"/>
    <w:rsid w:val="00F402D0"/>
    <w:rsid w:val="00F4063A"/>
    <w:rsid w:val="00F43171"/>
    <w:rsid w:val="00F43446"/>
    <w:rsid w:val="00F441AF"/>
    <w:rsid w:val="00F44A68"/>
    <w:rsid w:val="00F450E5"/>
    <w:rsid w:val="00F45344"/>
    <w:rsid w:val="00F453B5"/>
    <w:rsid w:val="00F45B8C"/>
    <w:rsid w:val="00F465FD"/>
    <w:rsid w:val="00F46700"/>
    <w:rsid w:val="00F478E6"/>
    <w:rsid w:val="00F51AEE"/>
    <w:rsid w:val="00F51F50"/>
    <w:rsid w:val="00F54B61"/>
    <w:rsid w:val="00F60221"/>
    <w:rsid w:val="00F609F6"/>
    <w:rsid w:val="00F616F2"/>
    <w:rsid w:val="00F616F8"/>
    <w:rsid w:val="00F61C0F"/>
    <w:rsid w:val="00F620CB"/>
    <w:rsid w:val="00F6219F"/>
    <w:rsid w:val="00F62DA6"/>
    <w:rsid w:val="00F635F5"/>
    <w:rsid w:val="00F63FD5"/>
    <w:rsid w:val="00F64C0E"/>
    <w:rsid w:val="00F65487"/>
    <w:rsid w:val="00F6652C"/>
    <w:rsid w:val="00F717B1"/>
    <w:rsid w:val="00F71A43"/>
    <w:rsid w:val="00F7229A"/>
    <w:rsid w:val="00F7292E"/>
    <w:rsid w:val="00F736F0"/>
    <w:rsid w:val="00F7448A"/>
    <w:rsid w:val="00F7619B"/>
    <w:rsid w:val="00F768C6"/>
    <w:rsid w:val="00F76DDB"/>
    <w:rsid w:val="00F77C99"/>
    <w:rsid w:val="00F80267"/>
    <w:rsid w:val="00F80687"/>
    <w:rsid w:val="00F80F87"/>
    <w:rsid w:val="00F82124"/>
    <w:rsid w:val="00F83425"/>
    <w:rsid w:val="00F83EF2"/>
    <w:rsid w:val="00F83EF9"/>
    <w:rsid w:val="00F843D9"/>
    <w:rsid w:val="00F84828"/>
    <w:rsid w:val="00F849BC"/>
    <w:rsid w:val="00F87F46"/>
    <w:rsid w:val="00F92840"/>
    <w:rsid w:val="00F93B27"/>
    <w:rsid w:val="00F93FBD"/>
    <w:rsid w:val="00F9481F"/>
    <w:rsid w:val="00F951AD"/>
    <w:rsid w:val="00F951B7"/>
    <w:rsid w:val="00F951F3"/>
    <w:rsid w:val="00F9564E"/>
    <w:rsid w:val="00F95DF7"/>
    <w:rsid w:val="00F95E7B"/>
    <w:rsid w:val="00F95FBE"/>
    <w:rsid w:val="00F9636D"/>
    <w:rsid w:val="00F96BEE"/>
    <w:rsid w:val="00F974DB"/>
    <w:rsid w:val="00F9762B"/>
    <w:rsid w:val="00FA00E9"/>
    <w:rsid w:val="00FA0243"/>
    <w:rsid w:val="00FA03A9"/>
    <w:rsid w:val="00FA23C6"/>
    <w:rsid w:val="00FA2669"/>
    <w:rsid w:val="00FA7D28"/>
    <w:rsid w:val="00FA7FF8"/>
    <w:rsid w:val="00FA9C50"/>
    <w:rsid w:val="00FB19B1"/>
    <w:rsid w:val="00FB306D"/>
    <w:rsid w:val="00FB30D0"/>
    <w:rsid w:val="00FB4A8C"/>
    <w:rsid w:val="00FB57D2"/>
    <w:rsid w:val="00FB6147"/>
    <w:rsid w:val="00FB73D9"/>
    <w:rsid w:val="00FC0AAA"/>
    <w:rsid w:val="00FC2905"/>
    <w:rsid w:val="00FC372A"/>
    <w:rsid w:val="00FC5CFF"/>
    <w:rsid w:val="00FC6BBE"/>
    <w:rsid w:val="00FC7873"/>
    <w:rsid w:val="00FD0018"/>
    <w:rsid w:val="00FD036E"/>
    <w:rsid w:val="00FD2B28"/>
    <w:rsid w:val="00FD37A8"/>
    <w:rsid w:val="00FD3C96"/>
    <w:rsid w:val="00FD3CCA"/>
    <w:rsid w:val="00FD3F77"/>
    <w:rsid w:val="00FD4333"/>
    <w:rsid w:val="00FD43B5"/>
    <w:rsid w:val="00FD4ED0"/>
    <w:rsid w:val="00FD5238"/>
    <w:rsid w:val="00FD63A5"/>
    <w:rsid w:val="00FD6651"/>
    <w:rsid w:val="00FD66C2"/>
    <w:rsid w:val="00FD74D4"/>
    <w:rsid w:val="00FD7C41"/>
    <w:rsid w:val="00FE0029"/>
    <w:rsid w:val="00FE0819"/>
    <w:rsid w:val="00FE34B0"/>
    <w:rsid w:val="00FE40F6"/>
    <w:rsid w:val="00FE5E43"/>
    <w:rsid w:val="00FE6F3E"/>
    <w:rsid w:val="00FE7062"/>
    <w:rsid w:val="00FE7591"/>
    <w:rsid w:val="00FE7B0D"/>
    <w:rsid w:val="00FE7CBB"/>
    <w:rsid w:val="00FF2E98"/>
    <w:rsid w:val="00FF495D"/>
    <w:rsid w:val="00FF7A8B"/>
    <w:rsid w:val="013D0F13"/>
    <w:rsid w:val="02052B7F"/>
    <w:rsid w:val="02D27AF6"/>
    <w:rsid w:val="0311E23F"/>
    <w:rsid w:val="031FD76A"/>
    <w:rsid w:val="03622A50"/>
    <w:rsid w:val="04F56CA9"/>
    <w:rsid w:val="04F8F107"/>
    <w:rsid w:val="055010FE"/>
    <w:rsid w:val="057FBCF2"/>
    <w:rsid w:val="05F52E22"/>
    <w:rsid w:val="060F45BC"/>
    <w:rsid w:val="06865A94"/>
    <w:rsid w:val="071F583A"/>
    <w:rsid w:val="077E69D1"/>
    <w:rsid w:val="07E23253"/>
    <w:rsid w:val="081881CC"/>
    <w:rsid w:val="0883CE4C"/>
    <w:rsid w:val="09EBC039"/>
    <w:rsid w:val="0A09E2B1"/>
    <w:rsid w:val="0A51146C"/>
    <w:rsid w:val="0A79149B"/>
    <w:rsid w:val="0B53BD5B"/>
    <w:rsid w:val="0B681766"/>
    <w:rsid w:val="0B861D55"/>
    <w:rsid w:val="0BA1ECBE"/>
    <w:rsid w:val="0C80F973"/>
    <w:rsid w:val="0CC6B9B0"/>
    <w:rsid w:val="0D7B0107"/>
    <w:rsid w:val="0D86AF59"/>
    <w:rsid w:val="0DCC6F2F"/>
    <w:rsid w:val="0EC78735"/>
    <w:rsid w:val="0FEF1B00"/>
    <w:rsid w:val="107D3EA9"/>
    <w:rsid w:val="10AA826D"/>
    <w:rsid w:val="1109896C"/>
    <w:rsid w:val="11460FC9"/>
    <w:rsid w:val="11BEFC89"/>
    <w:rsid w:val="12CBD083"/>
    <w:rsid w:val="1335823A"/>
    <w:rsid w:val="1396D34C"/>
    <w:rsid w:val="144AF34C"/>
    <w:rsid w:val="1494ADD9"/>
    <w:rsid w:val="14B8912C"/>
    <w:rsid w:val="1578B520"/>
    <w:rsid w:val="17686DD3"/>
    <w:rsid w:val="180EA168"/>
    <w:rsid w:val="18BE7E7D"/>
    <w:rsid w:val="19158A9A"/>
    <w:rsid w:val="193FB5B4"/>
    <w:rsid w:val="19C348F0"/>
    <w:rsid w:val="19F7D819"/>
    <w:rsid w:val="1A406070"/>
    <w:rsid w:val="1A598D9C"/>
    <w:rsid w:val="1A79A47B"/>
    <w:rsid w:val="1A95C42A"/>
    <w:rsid w:val="1B61BFDE"/>
    <w:rsid w:val="1BAD2A9F"/>
    <w:rsid w:val="1BCA2ED6"/>
    <w:rsid w:val="1BE7D83F"/>
    <w:rsid w:val="1CCEEF36"/>
    <w:rsid w:val="1D0EEE15"/>
    <w:rsid w:val="1D8B3084"/>
    <w:rsid w:val="1DAE75A4"/>
    <w:rsid w:val="1DF65747"/>
    <w:rsid w:val="1E4AD2B8"/>
    <w:rsid w:val="1E51C324"/>
    <w:rsid w:val="1E7A8969"/>
    <w:rsid w:val="1EA86429"/>
    <w:rsid w:val="1EC7222D"/>
    <w:rsid w:val="1EF1ECBF"/>
    <w:rsid w:val="1FAF3CAE"/>
    <w:rsid w:val="1FE0355D"/>
    <w:rsid w:val="20635917"/>
    <w:rsid w:val="20A3FBC0"/>
    <w:rsid w:val="21AD8286"/>
    <w:rsid w:val="21F766E0"/>
    <w:rsid w:val="226BF2EA"/>
    <w:rsid w:val="2280BE94"/>
    <w:rsid w:val="23EE6135"/>
    <w:rsid w:val="240EACCF"/>
    <w:rsid w:val="2454B986"/>
    <w:rsid w:val="24F52567"/>
    <w:rsid w:val="2737EBA7"/>
    <w:rsid w:val="27AB8195"/>
    <w:rsid w:val="28227BBE"/>
    <w:rsid w:val="28A060D6"/>
    <w:rsid w:val="28FA4BD5"/>
    <w:rsid w:val="29079390"/>
    <w:rsid w:val="29B8264E"/>
    <w:rsid w:val="2A2909E2"/>
    <w:rsid w:val="2AB2C413"/>
    <w:rsid w:val="2B4BBF59"/>
    <w:rsid w:val="2CB256B8"/>
    <w:rsid w:val="2CEAE50F"/>
    <w:rsid w:val="2D79B9AC"/>
    <w:rsid w:val="2D9FB91A"/>
    <w:rsid w:val="2DB7BA24"/>
    <w:rsid w:val="2DD3CD0A"/>
    <w:rsid w:val="2E583FAE"/>
    <w:rsid w:val="2EE119EC"/>
    <w:rsid w:val="2EE352A8"/>
    <w:rsid w:val="2F67FE66"/>
    <w:rsid w:val="2FBA5988"/>
    <w:rsid w:val="2FDC49AF"/>
    <w:rsid w:val="305FD167"/>
    <w:rsid w:val="31B37264"/>
    <w:rsid w:val="32341BC7"/>
    <w:rsid w:val="32762494"/>
    <w:rsid w:val="329745B7"/>
    <w:rsid w:val="33CE6C02"/>
    <w:rsid w:val="33DA50D4"/>
    <w:rsid w:val="33F5E8FD"/>
    <w:rsid w:val="35B4DA2D"/>
    <w:rsid w:val="3668B940"/>
    <w:rsid w:val="36EB6FFB"/>
    <w:rsid w:val="3765FAD5"/>
    <w:rsid w:val="379ADC85"/>
    <w:rsid w:val="38445200"/>
    <w:rsid w:val="3869D2D2"/>
    <w:rsid w:val="388A34EE"/>
    <w:rsid w:val="38C88422"/>
    <w:rsid w:val="38D5CB13"/>
    <w:rsid w:val="39370DED"/>
    <w:rsid w:val="399F84E1"/>
    <w:rsid w:val="39A4D880"/>
    <w:rsid w:val="39A6ED95"/>
    <w:rsid w:val="39D43D18"/>
    <w:rsid w:val="3A0B5A5F"/>
    <w:rsid w:val="3A290E18"/>
    <w:rsid w:val="3A358E2A"/>
    <w:rsid w:val="3A69CD4E"/>
    <w:rsid w:val="3AB2C925"/>
    <w:rsid w:val="3AF5CEBE"/>
    <w:rsid w:val="3C2CF440"/>
    <w:rsid w:val="3C6895C9"/>
    <w:rsid w:val="3CBF2D31"/>
    <w:rsid w:val="3DB3791B"/>
    <w:rsid w:val="3EE9A1B7"/>
    <w:rsid w:val="3F5E5EF7"/>
    <w:rsid w:val="3F6E04FE"/>
    <w:rsid w:val="3F6E552E"/>
    <w:rsid w:val="3F7E7C85"/>
    <w:rsid w:val="3FB5F673"/>
    <w:rsid w:val="3FD1A0E3"/>
    <w:rsid w:val="401C4391"/>
    <w:rsid w:val="4071A793"/>
    <w:rsid w:val="40D90ED2"/>
    <w:rsid w:val="40DD468B"/>
    <w:rsid w:val="41FADF26"/>
    <w:rsid w:val="42280F2A"/>
    <w:rsid w:val="424C8991"/>
    <w:rsid w:val="4258CB52"/>
    <w:rsid w:val="427244E5"/>
    <w:rsid w:val="4342DB52"/>
    <w:rsid w:val="435B9E0D"/>
    <w:rsid w:val="43C5B0E7"/>
    <w:rsid w:val="443831DC"/>
    <w:rsid w:val="4441C651"/>
    <w:rsid w:val="44D81E49"/>
    <w:rsid w:val="44F6A520"/>
    <w:rsid w:val="451B5075"/>
    <w:rsid w:val="453D5B49"/>
    <w:rsid w:val="45E376AC"/>
    <w:rsid w:val="45FB7019"/>
    <w:rsid w:val="45FD75DE"/>
    <w:rsid w:val="463F72CC"/>
    <w:rsid w:val="4672F430"/>
    <w:rsid w:val="46C7F164"/>
    <w:rsid w:val="47BD2F12"/>
    <w:rsid w:val="47C96A19"/>
    <w:rsid w:val="4826BDFE"/>
    <w:rsid w:val="4884F6B1"/>
    <w:rsid w:val="48B3AB7B"/>
    <w:rsid w:val="48BF66C8"/>
    <w:rsid w:val="49882678"/>
    <w:rsid w:val="49AC80E2"/>
    <w:rsid w:val="4A679607"/>
    <w:rsid w:val="4A7B3665"/>
    <w:rsid w:val="4B16C3AF"/>
    <w:rsid w:val="4B246A07"/>
    <w:rsid w:val="4B5351EF"/>
    <w:rsid w:val="4C796E85"/>
    <w:rsid w:val="4C9EE78E"/>
    <w:rsid w:val="4D0D89B1"/>
    <w:rsid w:val="4D89DE7B"/>
    <w:rsid w:val="4F3FBB83"/>
    <w:rsid w:val="4F8C667E"/>
    <w:rsid w:val="50AC0088"/>
    <w:rsid w:val="510905E2"/>
    <w:rsid w:val="511232F1"/>
    <w:rsid w:val="52330783"/>
    <w:rsid w:val="5250CF8C"/>
    <w:rsid w:val="52572BC6"/>
    <w:rsid w:val="52C40740"/>
    <w:rsid w:val="53827FB6"/>
    <w:rsid w:val="53900147"/>
    <w:rsid w:val="56112F3C"/>
    <w:rsid w:val="5649E2E4"/>
    <w:rsid w:val="56910485"/>
    <w:rsid w:val="572A494F"/>
    <w:rsid w:val="57500F41"/>
    <w:rsid w:val="57F4A3BF"/>
    <w:rsid w:val="585D5F38"/>
    <w:rsid w:val="58E0B1D6"/>
    <w:rsid w:val="58FBB89C"/>
    <w:rsid w:val="59103AA3"/>
    <w:rsid w:val="59C203A3"/>
    <w:rsid w:val="5A77D6ED"/>
    <w:rsid w:val="5B3A14DE"/>
    <w:rsid w:val="5B7F360B"/>
    <w:rsid w:val="5C04AABC"/>
    <w:rsid w:val="5C11169D"/>
    <w:rsid w:val="5C414778"/>
    <w:rsid w:val="5C6AE986"/>
    <w:rsid w:val="5D0506C2"/>
    <w:rsid w:val="5D4E269D"/>
    <w:rsid w:val="5D8B9697"/>
    <w:rsid w:val="5E279243"/>
    <w:rsid w:val="5E570C0A"/>
    <w:rsid w:val="5E6CC222"/>
    <w:rsid w:val="5EC184D8"/>
    <w:rsid w:val="5F0FB870"/>
    <w:rsid w:val="5FBFCC37"/>
    <w:rsid w:val="5FC55BDD"/>
    <w:rsid w:val="603F7EE5"/>
    <w:rsid w:val="604B9D3F"/>
    <w:rsid w:val="60D77036"/>
    <w:rsid w:val="613C4C89"/>
    <w:rsid w:val="616616D4"/>
    <w:rsid w:val="621182F3"/>
    <w:rsid w:val="62306146"/>
    <w:rsid w:val="6238DB37"/>
    <w:rsid w:val="62636781"/>
    <w:rsid w:val="627DA0BA"/>
    <w:rsid w:val="628BD9D4"/>
    <w:rsid w:val="62A33371"/>
    <w:rsid w:val="62A5CDBF"/>
    <w:rsid w:val="62BD9D6B"/>
    <w:rsid w:val="63489383"/>
    <w:rsid w:val="6362083B"/>
    <w:rsid w:val="6383C254"/>
    <w:rsid w:val="63967D54"/>
    <w:rsid w:val="6474EAF9"/>
    <w:rsid w:val="647C2C9B"/>
    <w:rsid w:val="64BFE6DC"/>
    <w:rsid w:val="64BFF49A"/>
    <w:rsid w:val="659E066F"/>
    <w:rsid w:val="65A469E7"/>
    <w:rsid w:val="65C4D3FD"/>
    <w:rsid w:val="65C78CB2"/>
    <w:rsid w:val="669FBB61"/>
    <w:rsid w:val="66EC6662"/>
    <w:rsid w:val="67280002"/>
    <w:rsid w:val="672D2845"/>
    <w:rsid w:val="67B3CD5D"/>
    <w:rsid w:val="687ACC4F"/>
    <w:rsid w:val="68EA83F4"/>
    <w:rsid w:val="68F3BDED"/>
    <w:rsid w:val="68FC9326"/>
    <w:rsid w:val="6900D577"/>
    <w:rsid w:val="6ADADE31"/>
    <w:rsid w:val="6ADC0D21"/>
    <w:rsid w:val="6B2D1E80"/>
    <w:rsid w:val="6B78D405"/>
    <w:rsid w:val="6B897764"/>
    <w:rsid w:val="6C48DBE2"/>
    <w:rsid w:val="6CEFF816"/>
    <w:rsid w:val="6D0E2CB2"/>
    <w:rsid w:val="6D56A6B9"/>
    <w:rsid w:val="6D68320A"/>
    <w:rsid w:val="6E0C8EA2"/>
    <w:rsid w:val="6F0B0743"/>
    <w:rsid w:val="6F157DB8"/>
    <w:rsid w:val="6F5AC4C7"/>
    <w:rsid w:val="6FC1BFD2"/>
    <w:rsid w:val="7007905A"/>
    <w:rsid w:val="703C9DE8"/>
    <w:rsid w:val="70F0E5D7"/>
    <w:rsid w:val="713F74BC"/>
    <w:rsid w:val="71622372"/>
    <w:rsid w:val="716B9E66"/>
    <w:rsid w:val="71854F45"/>
    <w:rsid w:val="72101ADD"/>
    <w:rsid w:val="7276FC27"/>
    <w:rsid w:val="72ADFD40"/>
    <w:rsid w:val="72D57E8D"/>
    <w:rsid w:val="72E4890B"/>
    <w:rsid w:val="730BAF04"/>
    <w:rsid w:val="73AA2768"/>
    <w:rsid w:val="73CD93A4"/>
    <w:rsid w:val="74169D74"/>
    <w:rsid w:val="753F907D"/>
    <w:rsid w:val="7671E8C5"/>
    <w:rsid w:val="775C3BC2"/>
    <w:rsid w:val="778B34C7"/>
    <w:rsid w:val="77F490C9"/>
    <w:rsid w:val="7810362D"/>
    <w:rsid w:val="7834338B"/>
    <w:rsid w:val="785EAC20"/>
    <w:rsid w:val="78FCA1F4"/>
    <w:rsid w:val="792ABD5E"/>
    <w:rsid w:val="79E31A8C"/>
    <w:rsid w:val="7A10C3D9"/>
    <w:rsid w:val="7A2FE4A1"/>
    <w:rsid w:val="7A929442"/>
    <w:rsid w:val="7AD678D8"/>
    <w:rsid w:val="7B4B9477"/>
    <w:rsid w:val="7B7AAE96"/>
    <w:rsid w:val="7B8248D4"/>
    <w:rsid w:val="7B9F3687"/>
    <w:rsid w:val="7CD9D48D"/>
    <w:rsid w:val="7CE797A9"/>
    <w:rsid w:val="7D5ABAA4"/>
    <w:rsid w:val="7DCCCF59"/>
    <w:rsid w:val="7DCFC2EF"/>
    <w:rsid w:val="7E2D692A"/>
    <w:rsid w:val="7E658EA3"/>
    <w:rsid w:val="7E828552"/>
    <w:rsid w:val="7E87827E"/>
    <w:rsid w:val="7F814D70"/>
    <w:rsid w:val="7F8901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FB7DA1A3-E6B3-476F-ADFD-74C22399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BC026F"/>
    <w:pPr>
      <w:keepNext/>
      <w:keepLines/>
      <w:spacing w:before="240" w:after="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60771C"/>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8F6F32"/>
    <w:pPr>
      <w:spacing w:after="120"/>
      <w:outlineLvl w:val="3"/>
    </w:pPr>
    <w:rPr>
      <w:rFonts w:cstheme="minorHAnsi"/>
      <w:b/>
      <w:color w:val="auto"/>
      <w:sz w:val="28"/>
    </w:rPr>
  </w:style>
  <w:style w:type="paragraph" w:styleId="Heading5">
    <w:name w:val="heading 5"/>
    <w:basedOn w:val="Normal"/>
    <w:next w:val="Normal"/>
    <w:link w:val="Heading5Char"/>
    <w:autoRedefine/>
    <w:uiPriority w:val="9"/>
    <w:unhideWhenUsed/>
    <w:qFormat/>
    <w:rsid w:val="00B15924"/>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BC6089"/>
    <w:pPr>
      <w:numPr>
        <w:numId w:val="41"/>
      </w:numPr>
      <w:spacing w:after="40" w:line="259" w:lineRule="auto"/>
      <w:ind w:right="-188"/>
    </w:pPr>
    <w:rPr>
      <w:color w:val="auto"/>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BC6089"/>
    <w:rPr>
      <w:rFonts w:ascii="Arial" w:hAnsi="Arial"/>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60771C"/>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7C03CD"/>
    <w:rPr>
      <w:rFonts w:ascii="Arial" w:hAnsi="Arial" w:cstheme="minorHAnsi"/>
      <w:b/>
      <w:sz w:val="28"/>
    </w:rPr>
  </w:style>
  <w:style w:type="character" w:customStyle="1" w:styleId="Heading1Char">
    <w:name w:val="Heading 1 Char"/>
    <w:basedOn w:val="DefaultParagraphFont"/>
    <w:link w:val="Heading1"/>
    <w:uiPriority w:val="9"/>
    <w:rsid w:val="00BC026F"/>
    <w:rPr>
      <w:rFonts w:ascii="Arial" w:eastAsiaTheme="majorEastAsia" w:hAnsi="Arial" w:cs="Arial"/>
      <w:b/>
      <w:bCs/>
      <w:noProof/>
      <w:sz w:val="72"/>
      <w:szCs w:val="40"/>
    </w:rPr>
  </w:style>
  <w:style w:type="character" w:customStyle="1" w:styleId="Heading5Char">
    <w:name w:val="Heading 5 Char"/>
    <w:basedOn w:val="DefaultParagraphFont"/>
    <w:link w:val="Heading5"/>
    <w:uiPriority w:val="9"/>
    <w:rsid w:val="00B15924"/>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60771C"/>
    <w:pPr>
      <w:tabs>
        <w:tab w:val="right" w:leader="dot" w:pos="9016"/>
      </w:tabs>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paragraph" w:styleId="BodyText">
    <w:name w:val="Body Text"/>
    <w:aliases w:val="Body Text2,Body Text Char2 Char,Body Text Char Char1 Char,Body Text2 Char Char1 Char,Body Text Char1 Char Char Char,Body Text2 Char1 Char Char Char,Body Text Char Char Char Char Char,Body Text2 Char Char Char Char Char,bt"/>
    <w:basedOn w:val="Normal"/>
    <w:link w:val="BodyTextChar1"/>
    <w:rsid w:val="00EA424D"/>
    <w:pPr>
      <w:numPr>
        <w:ilvl w:val="1"/>
        <w:numId w:val="4"/>
      </w:numPr>
      <w:spacing w:after="120" w:line="288" w:lineRule="auto"/>
      <w:ind w:right="-51"/>
      <w:jc w:val="both"/>
    </w:pPr>
    <w:rPr>
      <w:rFonts w:eastAsia="Times New Roman" w:cs="Times New Roman"/>
      <w:color w:val="000000"/>
      <w:sz w:val="22"/>
      <w:szCs w:val="18"/>
    </w:rPr>
  </w:style>
  <w:style w:type="character" w:customStyle="1" w:styleId="BodyTextChar">
    <w:name w:val="Body Text Char"/>
    <w:basedOn w:val="DefaultParagraphFont"/>
    <w:uiPriority w:val="99"/>
    <w:semiHidden/>
    <w:rsid w:val="00EA424D"/>
    <w:rPr>
      <w:rFonts w:ascii="Arial" w:hAnsi="Arial"/>
      <w:color w:val="262626" w:themeColor="text1" w:themeTint="D9"/>
      <w:sz w:val="24"/>
    </w:rPr>
  </w:style>
  <w:style w:type="character" w:customStyle="1" w:styleId="BodyTextChar1">
    <w:name w:val="Body Text Char1"/>
    <w:aliases w:val="Body Text2 Char,Body Text Char2 Char Char,Body Text Char Char1 Char Char,Body Text2 Char Char1 Char Char,Body Text Char1 Char Char Char Char,Body Text2 Char1 Char Char Char Char,Body Text Char Char Char Char Char Char,bt Char"/>
    <w:link w:val="BodyText"/>
    <w:locked/>
    <w:rsid w:val="00EA424D"/>
    <w:rPr>
      <w:rFonts w:ascii="Arial" w:eastAsia="Times New Roman" w:hAnsi="Arial" w:cs="Times New Roman"/>
      <w:color w:val="000000"/>
      <w:szCs w:val="18"/>
    </w:rPr>
  </w:style>
  <w:style w:type="paragraph" w:styleId="Revision">
    <w:name w:val="Revision"/>
    <w:hidden/>
    <w:uiPriority w:val="99"/>
    <w:semiHidden/>
    <w:rsid w:val="00622546"/>
    <w:pPr>
      <w:spacing w:after="0" w:line="240" w:lineRule="auto"/>
    </w:pPr>
    <w:rPr>
      <w:rFonts w:ascii="Arial" w:hAnsi="Arial"/>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ccessible-digital-documents.com/blog/accessible-annual-report-financial-tables/" TargetMode="External"/><Relationship Id="rId1" Type="http://schemas.openxmlformats.org/officeDocument/2006/relationships/hyperlink" Target="https://accessible-digital-documents.com/blog/accessible-annual-report-financial-tabl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manchesterfire.gov.uk/media/4114/appendix-a-gmfrs-efficiency-targets.xls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8413D8-F3ED-46F4-888A-2FDF65199A96}">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1E9FBA3F66D45A4723B5F090A16DC" ma:contentTypeVersion="4" ma:contentTypeDescription="Create a new document." ma:contentTypeScope="" ma:versionID="cc8f07e24afce6cbc76e539032840ea8">
  <xsd:schema xmlns:xsd="http://www.w3.org/2001/XMLSchema" xmlns:xs="http://www.w3.org/2001/XMLSchema" xmlns:p="http://schemas.microsoft.com/office/2006/metadata/properties" xmlns:ns2="8a1db97c-9aa0-43ac-a247-09b4d9c15a9a" xmlns:ns3="05ab3264-633d-4f77-b10d-3acda37341bb" targetNamespace="http://schemas.microsoft.com/office/2006/metadata/properties" ma:root="true" ma:fieldsID="500e9b054570a2ee5ba77b1d969f52a9" ns2:_="" ns3:_="">
    <xsd:import namespace="8a1db97c-9aa0-43ac-a247-09b4d9c15a9a"/>
    <xsd:import namespace="05ab3264-633d-4f77-b10d-3acda37341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b97c-9aa0-43ac-a247-09b4d9c15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ab3264-633d-4f77-b10d-3acda3734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5ab3264-633d-4f77-b10d-3acda37341bb">
      <UserInfo>
        <DisplayName>Meakin Carlos</DisplayName>
        <AccountId>19</AccountId>
        <AccountType/>
      </UserInfo>
      <UserInfo>
        <DisplayName>Heffernan Andrea</DisplayName>
        <AccountId>14</AccountId>
        <AccountType/>
      </UserInfo>
      <UserInfo>
        <DisplayName>Read, Tracey</DisplayName>
        <AccountId>18</AccountId>
        <AccountType/>
      </UserInfo>
      <UserInfo>
        <DisplayName>Fearnhead Paul</DisplayName>
        <AccountId>12</AccountId>
        <AccountType/>
      </UserInfo>
      <UserInfo>
        <DisplayName>Mitchell Carl</DisplayName>
        <AccountId>17</AccountId>
        <AccountType/>
      </UserInfo>
      <UserInfo>
        <DisplayName>Cunningham Dominic</DisplayName>
        <AccountId>15</AccountId>
        <AccountType/>
      </UserInfo>
      <UserInfo>
        <DisplayName>Scoales Sarah</DisplayName>
        <AccountId>13</AccountId>
        <AccountType/>
      </UserInfo>
    </SharedWithUsers>
  </documentManagement>
</p:properties>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67B8EF1F-79BF-4A65-83A6-A0EDAF07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b97c-9aa0-43ac-a247-09b4d9c15a9a"/>
    <ds:schemaRef ds:uri="05ab3264-633d-4f77-b10d-3acda3734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05ab3264-633d-4f77-b10d-3acda37341bb"/>
  </ds:schemaRefs>
</ds:datastoreItem>
</file>

<file path=docProps/app.xml><?xml version="1.0" encoding="utf-8"?>
<Properties xmlns="http://schemas.openxmlformats.org/officeDocument/2006/extended-properties" xmlns:vt="http://schemas.openxmlformats.org/officeDocument/2006/docPropsVTypes">
  <Template>GMCA Templa</Template>
  <TotalTime>0</TotalTime>
  <Pages>19</Pages>
  <Words>5380</Words>
  <Characters>30667</Characters>
  <Application>Microsoft Office Word</Application>
  <DocSecurity>0</DocSecurity>
  <Lines>255</Lines>
  <Paragraphs>71</Paragraphs>
  <ScaleCrop>false</ScaleCrop>
  <Company>GMFRS</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Fogarty, Olivia</cp:lastModifiedBy>
  <cp:revision>2</cp:revision>
  <cp:lastPrinted>2023-03-30T09:16:00Z</cp:lastPrinted>
  <dcterms:created xsi:type="dcterms:W3CDTF">2023-09-04T08:47:00Z</dcterms:created>
  <dcterms:modified xsi:type="dcterms:W3CDTF">2023-09-04T08:47:00Z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0x0101009221E9FBA3F66D45A4723B5F090A16DC</vt:lpwstr>
  </property>
</Properties>
</file>